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妇女联合会</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妇女联合会</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（一）坚持正确的政治方向，团结、教育全市各族各界妇女及各类妇女组织同党中央在思想上、政治上、行动上保持高度一致。</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r>
        <w:rPr>
          <w:rFonts w:hint="eastAsia" w:ascii="仿宋_GB2312" w:hAnsi="仿宋_GB2312" w:eastAsia="仿宋_GB2312" w:cs="仿宋_GB2312"/>
          <w:bCs/>
          <w:sz w:val="32"/>
          <w:szCs w:val="32"/>
        </w:rPr>
        <w:t>。</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（三）宣传马克思主义妇女观和男女平等思想，教育、引导妇女树立正确的世界观、人生观、价值观，弘扬自尊、自信、自立、自强的精神，积极推动妇女的科技文化及生产劳动技能教育，全面提高妇女素质。</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（四）代表妇女参与国家和社会事务的民主管理和民主监督；关注并加强研究及反映社情民意，提出对策建议；参与有关妇女儿童政策、法规草案的拟定，从源头上强化维护妇女儿童合法权益工作。</w:t>
      </w:r>
    </w:p>
    <w:p>
      <w:pPr>
        <w:autoSpaceDE w:val="0"/>
        <w:autoSpaceDN w:val="0"/>
        <w:adjustRightIn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（五）坚持为妇女儿童服务、为基层服务，加强与社会各界的联系，协调推动全社会为妇女儿童办实事、办好事。</w:t>
      </w:r>
    </w:p>
    <w:p>
      <w:pPr>
        <w:spacing w:line="4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（六）负责指导市妇联机关所属事业单位工作，促进妇女儿童事业的发展。</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（七）指导各县（市、区）妇联依据《中华全国妇女联合会章程》和妇女代表大会的任务，开展妇女儿童工作；联系团体会员并给予工作指导。</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（八）积极发展同各省、市妇女和妇女组织的友好交往，增进了解和友谊，开展合作。</w:t>
      </w:r>
    </w:p>
    <w:p>
      <w:pPr>
        <w:spacing w:line="480" w:lineRule="exact"/>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（九）承担廊坊市妇女儿童工作委员会办公室的工作。</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（十）承办市委、市政府交办的有关工作。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43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28"/>
        <w:gridCol w:w="1666"/>
        <w:gridCol w:w="1876"/>
        <w:gridCol w:w="4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6528"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166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87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4263"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6528"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1666"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1876"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c>
          <w:tcPr>
            <w:tcW w:w="4263" w:type="dxa"/>
            <w:vMerge w:val="continue"/>
            <w:shd w:val="clear" w:color="auto" w:fill="auto"/>
            <w:vAlign w:val="center"/>
          </w:tcPr>
          <w:p>
            <w:pPr>
              <w:spacing w:line="584" w:lineRule="exact"/>
              <w:jc w:val="left"/>
              <w:outlineLvl w:val="0"/>
              <w:rPr>
                <w:rFonts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6528"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廊坊市妇女联合会</w:t>
            </w:r>
          </w:p>
        </w:tc>
        <w:tc>
          <w:tcPr>
            <w:tcW w:w="1666"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行政单位</w:t>
            </w:r>
          </w:p>
        </w:tc>
        <w:tc>
          <w:tcPr>
            <w:tcW w:w="1876"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正处级</w:t>
            </w:r>
          </w:p>
        </w:tc>
        <w:tc>
          <w:tcPr>
            <w:tcW w:w="4263"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528"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廊坊市妇女儿童活动中心</w:t>
            </w:r>
          </w:p>
        </w:tc>
        <w:tc>
          <w:tcPr>
            <w:tcW w:w="1666"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差额事业单位</w:t>
            </w:r>
          </w:p>
        </w:tc>
        <w:tc>
          <w:tcPr>
            <w:tcW w:w="1876"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正科级</w:t>
            </w:r>
          </w:p>
        </w:tc>
        <w:tc>
          <w:tcPr>
            <w:tcW w:w="4263" w:type="dxa"/>
            <w:shd w:val="clear" w:color="auto" w:fill="auto"/>
            <w:vAlign w:val="center"/>
          </w:tcPr>
          <w:p>
            <w:pPr>
              <w:spacing w:line="300" w:lineRule="exact"/>
              <w:jc w:val="left"/>
              <w:rPr>
                <w:rFonts w:ascii="仿宋_GB2312" w:eastAsia="仿宋_GB2312"/>
                <w:sz w:val="32"/>
                <w:szCs w:val="32"/>
              </w:rPr>
            </w:pPr>
            <w:r>
              <w:rPr>
                <w:rFonts w:hint="eastAsia" w:ascii="仿宋_GB2312" w:hAnsi="Times New Roman" w:eastAsia="仿宋_GB2312" w:cs="Times New Roman"/>
                <w:sz w:val="32"/>
                <w:szCs w:val="32"/>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妇女联合会机关</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597.81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597.81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妇女联合会</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597.81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393.81</w:t>
      </w:r>
      <w:r>
        <w:rPr>
          <w:rFonts w:ascii="Times New Roman" w:hAnsi="Times New Roman" w:eastAsia="仿宋_GB2312" w:cs="Times New Roman"/>
          <w:sz w:val="32"/>
          <w:szCs w:val="32"/>
        </w:rPr>
        <w:t>万元，包括人员经费351.05万元和日常公用经费42.76万元；项目支出204万元，包括本级支出204万元，</w:t>
      </w:r>
      <w:r>
        <w:rPr>
          <w:rFonts w:hint="eastAsia" w:ascii="仿宋_GB2312" w:hAnsi="Times New Roman" w:eastAsia="仿宋_GB2312" w:cs="Times New Roman"/>
          <w:sz w:val="32"/>
          <w:szCs w:val="32"/>
        </w:rPr>
        <w:t>主要为“六一”儿童节系列活动经费、“三八”妇女节表彰工作经费、活动中心工作经费等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597.81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9.88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增加43.12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主要问人员工资部分增加支出；</w:t>
      </w:r>
      <w:r>
        <w:rPr>
          <w:rFonts w:ascii="Times New Roman" w:hAnsi="Times New Roman" w:eastAsia="仿宋_GB2312" w:cs="Times New Roman"/>
          <w:sz w:val="32"/>
          <w:szCs w:val="32"/>
        </w:rPr>
        <w:t>项目支出或减少</w:t>
      </w:r>
      <w:r>
        <w:rPr>
          <w:rFonts w:hint="eastAsia" w:ascii="Times New Roman" w:hAnsi="Times New Roman" w:eastAsia="仿宋_GB2312" w:cs="Times New Roman"/>
          <w:sz w:val="32"/>
          <w:szCs w:val="32"/>
        </w:rPr>
        <w:t>53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部分专项</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42.76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w:t>
      </w:r>
      <w:r>
        <w:rPr>
          <w:rFonts w:hint="eastAsia" w:ascii="Times New Roman" w:hAnsi="Times New Roman" w:eastAsia="仿宋_GB2312" w:cs="Times New Roman"/>
          <w:sz w:val="32"/>
          <w:szCs w:val="32"/>
        </w:rPr>
        <w:t>办公费、差旅费等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27" w:firstLineChars="196"/>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0.28</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2"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2019年廊坊市妇联坚持以习近平新时代中国特色社会主义思想我统领，全面贯彻落实党的十九大精神，以中国妇女十二大和省妇女十四大为新起点，紧紧围绕市委市政府中心工作，坚持围绕中心、服务大局、立足基层、服务妇女、广泛开展“巾帼心向党”“巾帼建新功”“巾帼暖人心”系列活动，团结带领全市妇女为开创新时代全面建设经济强市、美丽廊坊新局面贡献半边天力量。</w:t>
      </w:r>
    </w:p>
    <w:p>
      <w:pPr>
        <w:spacing w:line="584"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认真学习贯彻习近平总书记重要讲话精神，切实承担起团结带领广大妇女听党话、跟党走的政治责任。深入宣传，坚定妇女理想信念，组织巾帼志愿讲师、妇女代表等深入基层妇女之家、妇女讲习所开展宣讲，运用妇联新媒体集中开展网上宣传教育。大力表彰“三八”红旗手（集体）、巾帼建功标兵（巾帼文明岗）等各类优秀妇女典型，注重运用大众化、社会化、网络化方式推选典型，采取灵活多样的方式宣传各类典型，强化价值引领，用榜样的力量激励和带动广大妇女团结拼搏、奋发向上。</w:t>
      </w:r>
    </w:p>
    <w:p>
      <w:pPr>
        <w:spacing w:line="584" w:lineRule="exact"/>
        <w:ind w:firstLine="63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围绕中心，服务大局，找准切入点、结合点、着力点，团结动员广大妇女为新时代全面建设经济强市、美丽廊坊贡献力量。大力推进巾帼创新创业行动，开展各类妇女素质及职业技能培训；深化推进美丽庭院创建；深化家庭文明建设工作。以寻找“最美家庭”活动为载体，广泛开展以家庭教育、家庭读书、家风展示为内容的主题系列活动。</w:t>
      </w:r>
    </w:p>
    <w:p>
      <w:pPr>
        <w:spacing w:line="584" w:lineRule="exact"/>
        <w:ind w:firstLine="63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依法维护妇女儿童合法权益，促进妇女儿童事业发展。大力推动落实男女平等基本国策，利用“三八”“12.4”等节日开展普法宣传活动。持续开展“木兰有约”普法以宣传，引导妇女自觉尊法学法守法用法，通过合法渠道、正常途径表达利益诉求，依法维护自身权益。</w:t>
      </w:r>
    </w:p>
    <w:p>
      <w:pPr>
        <w:spacing w:line="584" w:lineRule="exact"/>
        <w:ind w:firstLine="63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深化基层妇联组织改革，加强妇联干部队伍建设。推进乡镇（街道）妇联组织区域化改革，同伙动员、培训、观摩、督导等形式在完成“两委”换届的村（社区）全面实现“会改联”，全力打造“上面千条线，下面一张网”的妇女工作新局面。进一步加强对基层妇联业务骨干培训，努力培养造就一支高素质妇联干部队伍。打造“升级版”的示范妇女之家，进一步提升软硬件水平，拓展功能，丰富内容，更好地服务妇女儿童多样化需求。</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303</w:t>
            </w:r>
            <w:r>
              <w:rPr>
                <w:rFonts w:ascii="Times New Roman" w:hAnsi="Times New Roman" w:eastAsia="仿宋_GB2312" w:cs="Times New Roman"/>
                <w:sz w:val="24"/>
              </w:rPr>
              <w:t>廊坊市</w:t>
            </w:r>
            <w:r>
              <w:rPr>
                <w:rFonts w:hint="eastAsia" w:ascii="Times New Roman" w:hAnsi="Times New Roman" w:eastAsia="仿宋_GB2312" w:cs="Times New Roman"/>
                <w:sz w:val="24"/>
              </w:rPr>
              <w:t>妇女联合会</w:t>
            </w:r>
          </w:p>
        </w:tc>
        <w:tc>
          <w:tcPr>
            <w:tcW w:w="3535" w:type="dxa"/>
            <w:gridSpan w:val="4"/>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9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6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优</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良</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584" w:lineRule="exact"/>
              <w:jc w:val="left"/>
              <w:rPr>
                <w:rFonts w:ascii="Times New Roman" w:hAnsi="Times New Roman" w:eastAsia="仿宋_GB2312" w:cs="Times New Roman"/>
                <w:b/>
              </w:rPr>
            </w:pPr>
            <w:r>
              <w:rPr>
                <w:rFonts w:hint="eastAsia" w:ascii="宋体" w:hAnsi="宋体" w:cs="宋体"/>
                <w:color w:val="000000"/>
                <w:kern w:val="0"/>
                <w:sz w:val="18"/>
                <w:szCs w:val="18"/>
              </w:rPr>
              <w:t>一、团结动员妇女参加经济社会建设</w:t>
            </w:r>
          </w:p>
        </w:tc>
        <w:tc>
          <w:tcPr>
            <w:tcW w:w="1276"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20.00</w:t>
            </w:r>
          </w:p>
        </w:tc>
        <w:tc>
          <w:tcPr>
            <w:tcW w:w="2976"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kern w:val="0"/>
                <w:sz w:val="18"/>
                <w:szCs w:val="18"/>
              </w:rPr>
              <w:t>贯彻落实中央省市委部署，引导全市妇女听党话、跟党走，发扬“四自”精神，积极投身改革开放和社会主义经济、政治、文化、社会和生态文明建设，全面提高妇女素质。</w:t>
            </w:r>
          </w:p>
        </w:tc>
        <w:tc>
          <w:tcPr>
            <w:tcW w:w="2672"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kern w:val="0"/>
                <w:sz w:val="18"/>
                <w:szCs w:val="18"/>
              </w:rPr>
              <w:t>围绕中心，服务大局，完成市委市政府交办的工作任务，全市妇女精神面貌有较大改观，创业就业能力逐步增强，素质得到有效提升</w:t>
            </w:r>
          </w:p>
        </w:tc>
        <w:tc>
          <w:tcPr>
            <w:tcW w:w="1134" w:type="dxa"/>
            <w:shd w:val="clear" w:color="auto" w:fill="auto"/>
            <w:vAlign w:val="center"/>
          </w:tcPr>
          <w:p>
            <w:pPr>
              <w:spacing w:line="584" w:lineRule="exact"/>
              <w:jc w:val="left"/>
              <w:rPr>
                <w:rFonts w:ascii="Times New Roman" w:hAnsi="Times New Roman" w:eastAsia="仿宋_GB2312" w:cs="Times New Roman"/>
              </w:rPr>
            </w:pPr>
          </w:p>
        </w:tc>
        <w:tc>
          <w:tcPr>
            <w:tcW w:w="883" w:type="dxa"/>
            <w:shd w:val="clear" w:color="auto" w:fill="auto"/>
            <w:vAlign w:val="center"/>
          </w:tcPr>
          <w:p>
            <w:pPr>
              <w:spacing w:line="584" w:lineRule="exact"/>
              <w:jc w:val="center"/>
              <w:rPr>
                <w:rFonts w:ascii="Times New Roman" w:hAnsi="Times New Roman" w:eastAsia="仿宋_GB2312" w:cs="Times New Roman"/>
              </w:rPr>
            </w:pPr>
          </w:p>
        </w:tc>
        <w:tc>
          <w:tcPr>
            <w:tcW w:w="884" w:type="dxa"/>
            <w:shd w:val="clear" w:color="auto" w:fill="auto"/>
            <w:vAlign w:val="center"/>
          </w:tcPr>
          <w:p>
            <w:pPr>
              <w:spacing w:line="584" w:lineRule="exact"/>
              <w:jc w:val="center"/>
              <w:rPr>
                <w:rFonts w:ascii="Times New Roman" w:hAnsi="Times New Roman" w:eastAsia="仿宋_GB2312" w:cs="Times New Roman"/>
              </w:rPr>
            </w:pPr>
          </w:p>
        </w:tc>
        <w:tc>
          <w:tcPr>
            <w:tcW w:w="884" w:type="dxa"/>
            <w:shd w:val="clear" w:color="auto" w:fill="auto"/>
            <w:vAlign w:val="center"/>
          </w:tcPr>
          <w:p>
            <w:pPr>
              <w:spacing w:line="584" w:lineRule="exact"/>
              <w:jc w:val="center"/>
              <w:rPr>
                <w:rFonts w:ascii="Times New Roman" w:hAnsi="Times New Roman" w:eastAsia="仿宋_GB2312" w:cs="Times New Roman"/>
              </w:rPr>
            </w:pPr>
          </w:p>
        </w:tc>
        <w:tc>
          <w:tcPr>
            <w:tcW w:w="884"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2" w:hRule="atLeast"/>
          <w:jc w:val="center"/>
        </w:trPr>
        <w:tc>
          <w:tcPr>
            <w:tcW w:w="2341" w:type="dxa"/>
            <w:vMerge w:val="restart"/>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1、团结动员妇女参加经济社会建设</w:t>
            </w:r>
          </w:p>
        </w:tc>
        <w:tc>
          <w:tcPr>
            <w:tcW w:w="1276" w:type="dxa"/>
            <w:vMerge w:val="restart"/>
            <w:shd w:val="clear" w:color="auto" w:fill="auto"/>
            <w:vAlign w:val="center"/>
          </w:tcPr>
          <w:p>
            <w:pPr>
              <w:spacing w:line="584" w:lineRule="exact"/>
              <w:jc w:val="left"/>
              <w:rPr>
                <w:rFonts w:hint="eastAsia" w:ascii="Times New Roman" w:hAnsi="Times New Roman" w:eastAsia="仿宋_GB2312" w:cs="Times New Roman"/>
              </w:rPr>
            </w:pPr>
            <w:r>
              <w:rPr>
                <w:rFonts w:hint="eastAsia" w:ascii="Times New Roman" w:hAnsi="Times New Roman" w:eastAsia="仿宋_GB2312" w:cs="Times New Roman"/>
              </w:rPr>
              <w:t>20.00</w:t>
            </w:r>
          </w:p>
        </w:tc>
        <w:tc>
          <w:tcPr>
            <w:tcW w:w="2976" w:type="dxa"/>
            <w:vMerge w:val="restart"/>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开展“中国梦、巾帼行”、巧手创富工程、美丽庭院创建、寻找最美家庭等各种活动，团结动员广大妇女积极投身五大建设，弘扬社会主义核心价值观，发扬“四自”精神，为全市经济社会发展作贡献。</w:t>
            </w:r>
          </w:p>
        </w:tc>
        <w:tc>
          <w:tcPr>
            <w:tcW w:w="2672" w:type="dxa"/>
            <w:vMerge w:val="restart"/>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妇女积极参与妇联组织围绕市委市政府中心工作开展的各项活动，精神面貌有较大改观，创业就业能力逐步增强，素质得到有效提升。</w:t>
            </w:r>
          </w:p>
        </w:tc>
        <w:tc>
          <w:tcPr>
            <w:tcW w:w="113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培育巾帼示范基地数</w:t>
            </w:r>
          </w:p>
        </w:tc>
        <w:tc>
          <w:tcPr>
            <w:tcW w:w="883"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≥10个</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≥8个</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≥6个</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9" w:hRule="atLeast"/>
          <w:jc w:val="center"/>
        </w:trPr>
        <w:tc>
          <w:tcPr>
            <w:tcW w:w="2341"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276" w:type="dxa"/>
            <w:vMerge w:val="continue"/>
            <w:shd w:val="clear" w:color="auto" w:fill="auto"/>
            <w:vAlign w:val="center"/>
          </w:tcPr>
          <w:p>
            <w:pPr>
              <w:spacing w:line="584" w:lineRule="exact"/>
              <w:jc w:val="left"/>
              <w:rPr>
                <w:rFonts w:hint="eastAsia" w:ascii="Times New Roman" w:hAnsi="Times New Roman" w:eastAsia="仿宋_GB2312" w:cs="Times New Roman"/>
              </w:rPr>
            </w:pPr>
          </w:p>
        </w:tc>
        <w:tc>
          <w:tcPr>
            <w:tcW w:w="2976"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2672"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13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建设妇女创业就业服务平台数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9" w:hRule="atLeast"/>
          <w:jc w:val="center"/>
        </w:trPr>
        <w:tc>
          <w:tcPr>
            <w:tcW w:w="2341"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276" w:type="dxa"/>
            <w:vMerge w:val="continue"/>
            <w:shd w:val="clear" w:color="auto" w:fill="auto"/>
            <w:vAlign w:val="center"/>
          </w:tcPr>
          <w:p>
            <w:pPr>
              <w:spacing w:line="584" w:lineRule="exact"/>
              <w:jc w:val="left"/>
              <w:rPr>
                <w:rFonts w:hint="eastAsia" w:ascii="Times New Roman" w:hAnsi="Times New Roman" w:eastAsia="仿宋_GB2312" w:cs="Times New Roman"/>
              </w:rPr>
            </w:pPr>
          </w:p>
        </w:tc>
        <w:tc>
          <w:tcPr>
            <w:tcW w:w="2976"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2672"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建立示范村民讲习所数量</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2341"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276" w:type="dxa"/>
            <w:vMerge w:val="continue"/>
            <w:shd w:val="clear" w:color="auto" w:fill="auto"/>
            <w:vAlign w:val="center"/>
          </w:tcPr>
          <w:p>
            <w:pPr>
              <w:spacing w:line="584" w:lineRule="exact"/>
              <w:jc w:val="left"/>
              <w:rPr>
                <w:rFonts w:hint="eastAsia" w:ascii="Times New Roman" w:hAnsi="Times New Roman" w:eastAsia="仿宋_GB2312" w:cs="Times New Roman"/>
              </w:rPr>
            </w:pPr>
          </w:p>
        </w:tc>
        <w:tc>
          <w:tcPr>
            <w:tcW w:w="2976"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2672"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注册巾帼志愿者人数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≥30人</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≥20人</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≥10人</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2341"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276" w:type="dxa"/>
            <w:vMerge w:val="continue"/>
            <w:shd w:val="clear" w:color="auto" w:fill="auto"/>
            <w:vAlign w:val="center"/>
          </w:tcPr>
          <w:p>
            <w:pPr>
              <w:spacing w:line="584" w:lineRule="exact"/>
              <w:jc w:val="left"/>
              <w:rPr>
                <w:rFonts w:hint="eastAsia" w:ascii="Times New Roman" w:hAnsi="Times New Roman" w:eastAsia="仿宋_GB2312" w:cs="Times New Roman"/>
              </w:rPr>
            </w:pPr>
          </w:p>
        </w:tc>
        <w:tc>
          <w:tcPr>
            <w:tcW w:w="2976"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2672"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帮扶妇女创业人数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2341"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276" w:type="dxa"/>
            <w:vMerge w:val="continue"/>
            <w:shd w:val="clear" w:color="auto" w:fill="auto"/>
            <w:vAlign w:val="center"/>
          </w:tcPr>
          <w:p>
            <w:pPr>
              <w:spacing w:line="584" w:lineRule="exact"/>
              <w:jc w:val="left"/>
              <w:rPr>
                <w:rFonts w:hint="eastAsia" w:ascii="Times New Roman" w:hAnsi="Times New Roman" w:eastAsia="仿宋_GB2312" w:cs="Times New Roman"/>
              </w:rPr>
            </w:pPr>
          </w:p>
        </w:tc>
        <w:tc>
          <w:tcPr>
            <w:tcW w:w="2976"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2672" w:type="dxa"/>
            <w:vMerge w:val="continue"/>
            <w:shd w:val="clear" w:color="auto" w:fill="auto"/>
            <w:vAlign w:val="center"/>
          </w:tcPr>
          <w:p>
            <w:pPr>
              <w:spacing w:line="584" w:lineRule="exact"/>
              <w:jc w:val="left"/>
              <w:rPr>
                <w:rFonts w:hint="eastAsia" w:ascii="宋体" w:hAnsi="宋体" w:cs="宋体"/>
                <w:color w:val="000000"/>
                <w:kern w:val="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组织讲师团培训次数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≥2次</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≥1次</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≥0次</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2341" w:type="dxa"/>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二、维护妇女儿童合法权益促进妇女儿童发展</w:t>
            </w:r>
          </w:p>
        </w:tc>
        <w:tc>
          <w:tcPr>
            <w:tcW w:w="1276" w:type="dxa"/>
            <w:shd w:val="clear" w:color="auto" w:fill="auto"/>
            <w:vAlign w:val="center"/>
          </w:tcPr>
          <w:p>
            <w:pPr>
              <w:spacing w:line="584" w:lineRule="exact"/>
              <w:jc w:val="left"/>
              <w:rPr>
                <w:rFonts w:hint="eastAsia" w:ascii="Times New Roman" w:hAnsi="Times New Roman" w:eastAsia="仿宋_GB2312" w:cs="Times New Roman"/>
              </w:rPr>
            </w:pPr>
            <w:r>
              <w:rPr>
                <w:rFonts w:hint="eastAsia" w:ascii="Times New Roman" w:hAnsi="Times New Roman" w:eastAsia="仿宋_GB2312" w:cs="Times New Roman"/>
              </w:rPr>
              <w:t>32.00</w:t>
            </w:r>
          </w:p>
        </w:tc>
        <w:tc>
          <w:tcPr>
            <w:tcW w:w="2976" w:type="dxa"/>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关注涉及妇女切身利益的热点、难点问题，及时向市委市政府提出对策建议；强化维权工作，帮扶困境群体。积极开展对妇女的科技文化及生产劳动技能等各类教育培训。</w:t>
            </w:r>
          </w:p>
        </w:tc>
        <w:tc>
          <w:tcPr>
            <w:tcW w:w="2672" w:type="dxa"/>
            <w:shd w:val="clear" w:color="auto" w:fill="auto"/>
            <w:vAlign w:val="center"/>
          </w:tcPr>
          <w:p>
            <w:pPr>
              <w:spacing w:line="584"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妇女综合素质和发展能力有较大提升。妇女儿童合法权益得到有效维护，男女平等基本国策宣传进一步深入人心。</w:t>
            </w:r>
          </w:p>
        </w:tc>
        <w:tc>
          <w:tcPr>
            <w:tcW w:w="1134" w:type="dxa"/>
            <w:shd w:val="clear" w:color="auto" w:fill="auto"/>
            <w:vAlign w:val="center"/>
          </w:tcPr>
          <w:p>
            <w:pPr>
              <w:widowControl/>
              <w:jc w:val="left"/>
              <w:textAlignment w:val="center"/>
              <w:rPr>
                <w:rFonts w:hint="eastAsia" w:ascii="宋体" w:hAnsi="宋体" w:cs="宋体"/>
                <w:color w:val="000000"/>
                <w:kern w:val="0"/>
                <w:sz w:val="18"/>
                <w:szCs w:val="18"/>
              </w:rPr>
            </w:pPr>
          </w:p>
        </w:tc>
        <w:tc>
          <w:tcPr>
            <w:tcW w:w="883" w:type="dxa"/>
            <w:shd w:val="clear" w:color="auto" w:fill="auto"/>
            <w:vAlign w:val="center"/>
          </w:tcPr>
          <w:p>
            <w:pPr>
              <w:widowControl/>
              <w:jc w:val="left"/>
              <w:textAlignment w:val="center"/>
              <w:rPr>
                <w:rFonts w:hint="eastAsia" w:ascii="宋体" w:hAnsi="宋体" w:cs="宋体"/>
                <w:color w:val="000000"/>
                <w:kern w:val="0"/>
                <w:sz w:val="18"/>
                <w:szCs w:val="18"/>
              </w:rPr>
            </w:pPr>
          </w:p>
        </w:tc>
        <w:tc>
          <w:tcPr>
            <w:tcW w:w="884" w:type="dxa"/>
            <w:shd w:val="clear" w:color="auto" w:fill="auto"/>
            <w:vAlign w:val="center"/>
          </w:tcPr>
          <w:p>
            <w:pPr>
              <w:widowControl/>
              <w:jc w:val="left"/>
              <w:textAlignment w:val="center"/>
              <w:rPr>
                <w:rFonts w:hint="eastAsia" w:ascii="宋体" w:hAnsi="宋体" w:cs="宋体"/>
                <w:color w:val="000000"/>
                <w:kern w:val="0"/>
                <w:sz w:val="18"/>
                <w:szCs w:val="18"/>
              </w:rPr>
            </w:pPr>
          </w:p>
        </w:tc>
        <w:tc>
          <w:tcPr>
            <w:tcW w:w="884" w:type="dxa"/>
            <w:shd w:val="clear" w:color="auto" w:fill="auto"/>
            <w:vAlign w:val="center"/>
          </w:tcPr>
          <w:p>
            <w:pPr>
              <w:widowControl/>
              <w:jc w:val="left"/>
              <w:textAlignment w:val="center"/>
              <w:rPr>
                <w:rFonts w:hint="eastAsia" w:ascii="宋体" w:hAnsi="宋体" w:cs="宋体"/>
                <w:color w:val="000000"/>
                <w:kern w:val="0"/>
                <w:sz w:val="18"/>
                <w:szCs w:val="18"/>
              </w:rPr>
            </w:pPr>
          </w:p>
        </w:tc>
        <w:tc>
          <w:tcPr>
            <w:tcW w:w="884" w:type="dxa"/>
            <w:shd w:val="clear" w:color="auto" w:fill="auto"/>
            <w:vAlign w:val="center"/>
          </w:tcPr>
          <w:p>
            <w:pPr>
              <w:widowControl/>
              <w:jc w:val="left"/>
              <w:textAlignment w:val="center"/>
              <w:rPr>
                <w:rFonts w:hint="eastAsia" w:ascii="宋体" w:hAnsi="宋体" w:cs="宋体"/>
                <w:color w:val="000000"/>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2341" w:type="dxa"/>
            <w:vMerge w:val="restart"/>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sz w:val="18"/>
                <w:szCs w:val="18"/>
              </w:rPr>
              <w:t>1、维权服务</w:t>
            </w:r>
          </w:p>
        </w:tc>
        <w:tc>
          <w:tcPr>
            <w:tcW w:w="1276" w:type="dxa"/>
            <w:vMerge w:val="restart"/>
            <w:shd w:val="clear" w:color="auto" w:fill="auto"/>
            <w:vAlign w:val="center"/>
          </w:tcPr>
          <w:p>
            <w:pPr>
              <w:jc w:val="center"/>
              <w:rPr>
                <w:rFonts w:ascii="仿宋_GB2312" w:hAnsi="Calibri" w:eastAsia="仿宋_GB2312" w:cs="Times New Roman"/>
              </w:rPr>
            </w:pPr>
            <w:r>
              <w:rPr>
                <w:rFonts w:hint="eastAsia" w:ascii="宋体" w:hAnsi="宋体" w:cs="宋体"/>
                <w:color w:val="000000"/>
                <w:sz w:val="18"/>
                <w:szCs w:val="18"/>
              </w:rPr>
              <w:t>20.00</w:t>
            </w:r>
          </w:p>
        </w:tc>
        <w:tc>
          <w:tcPr>
            <w:tcW w:w="2976"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关注和研究涉及妇女切身利益的热点难点问题，向市委市政府提出对策建议；参与有关妇女儿童政策和法律、法规草案的拟定，教育引导妇女依法维权，对权益受到侵害的妇女儿童和困境妇女儿童提供帮助。</w:t>
            </w:r>
          </w:p>
        </w:tc>
        <w:tc>
          <w:tcPr>
            <w:tcW w:w="2672"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sz w:val="18"/>
                <w:szCs w:val="18"/>
              </w:rPr>
              <w:t>帮助权益受到侵害和困难的妇女儿童解决困难和问题，开展普法宣传教育，提高广大妇女儿童的维权意识和维权能力，维护妇女儿童合法权益。</w:t>
            </w:r>
          </w:p>
        </w:tc>
        <w:tc>
          <w:tcPr>
            <w:tcW w:w="1134" w:type="dxa"/>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sz w:val="18"/>
                <w:szCs w:val="18"/>
              </w:rPr>
              <w:t>维权服务对象满意度</w:t>
            </w:r>
          </w:p>
        </w:tc>
        <w:tc>
          <w:tcPr>
            <w:tcW w:w="883"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≥70%</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≥60%</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276" w:type="dxa"/>
            <w:vMerge w:val="continue"/>
            <w:shd w:val="clear" w:color="auto" w:fill="auto"/>
            <w:vAlign w:val="center"/>
          </w:tcPr>
          <w:p>
            <w:pPr>
              <w:jc w:val="center"/>
              <w:rPr>
                <w:rFonts w:hint="eastAsia" w:ascii="宋体" w:hAnsi="宋体" w:cs="宋体"/>
                <w:color w:val="000000"/>
                <w:sz w:val="18"/>
                <w:szCs w:val="18"/>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sz w:val="18"/>
                <w:szCs w:val="18"/>
              </w:rPr>
              <w:t>法律援助妇女侵权案件数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276" w:type="dxa"/>
            <w:vMerge w:val="continue"/>
            <w:shd w:val="clear" w:color="auto" w:fill="auto"/>
            <w:vAlign w:val="center"/>
          </w:tcPr>
          <w:p>
            <w:pPr>
              <w:jc w:val="center"/>
              <w:rPr>
                <w:rFonts w:hint="eastAsia" w:ascii="宋体" w:hAnsi="宋体" w:cs="宋体"/>
                <w:color w:val="000000"/>
                <w:sz w:val="18"/>
                <w:szCs w:val="18"/>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sz w:val="18"/>
                <w:szCs w:val="18"/>
              </w:rPr>
              <w:t>妇女信访代理工作覆盖率</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276" w:type="dxa"/>
            <w:vMerge w:val="continue"/>
            <w:shd w:val="clear" w:color="auto" w:fill="auto"/>
            <w:vAlign w:val="center"/>
          </w:tcPr>
          <w:p>
            <w:pPr>
              <w:jc w:val="center"/>
              <w:rPr>
                <w:rFonts w:hint="eastAsia" w:ascii="宋体" w:hAnsi="宋体" w:cs="宋体"/>
                <w:color w:val="000000"/>
                <w:sz w:val="18"/>
                <w:szCs w:val="18"/>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来电来访妇女答复率</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2341" w:type="dxa"/>
            <w:vMerge w:val="restart"/>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sz w:val="18"/>
                <w:szCs w:val="18"/>
              </w:rPr>
              <w:t>2、教育培训与事业发展</w:t>
            </w:r>
          </w:p>
        </w:tc>
        <w:tc>
          <w:tcPr>
            <w:tcW w:w="1276" w:type="dxa"/>
            <w:vMerge w:val="restart"/>
            <w:shd w:val="clear" w:color="auto" w:fill="auto"/>
            <w:vAlign w:val="center"/>
          </w:tcPr>
          <w:p>
            <w:pPr>
              <w:jc w:val="center"/>
              <w:rPr>
                <w:rFonts w:ascii="仿宋_GB2312" w:hAnsi="Calibri" w:eastAsia="仿宋_GB2312" w:cs="Times New Roman"/>
              </w:rPr>
            </w:pPr>
            <w:r>
              <w:rPr>
                <w:rFonts w:hint="eastAsia" w:ascii="仿宋_GB2312" w:hAnsi="Calibri" w:eastAsia="仿宋_GB2312" w:cs="Times New Roman"/>
              </w:rPr>
              <w:t>12.00</w:t>
            </w:r>
          </w:p>
        </w:tc>
        <w:tc>
          <w:tcPr>
            <w:tcW w:w="2976"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开展对妇女的科技文化、生产劳动技能和家庭、家教、家风教育。</w:t>
            </w:r>
          </w:p>
        </w:tc>
        <w:tc>
          <w:tcPr>
            <w:tcW w:w="2672"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sz w:val="18"/>
                <w:szCs w:val="18"/>
              </w:rPr>
              <w:t>提高妇女科技素质、经营管理能力、家庭教育水平。</w:t>
            </w:r>
          </w:p>
        </w:tc>
        <w:tc>
          <w:tcPr>
            <w:tcW w:w="1134" w:type="dxa"/>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sz w:val="18"/>
                <w:szCs w:val="18"/>
              </w:rPr>
              <w:t>培养妇女致富带头人人数</w:t>
            </w:r>
          </w:p>
        </w:tc>
        <w:tc>
          <w:tcPr>
            <w:tcW w:w="883"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≥15人</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≥10人</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≥8人</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276" w:type="dxa"/>
            <w:vMerge w:val="continue"/>
            <w:shd w:val="clear" w:color="auto" w:fill="auto"/>
            <w:vAlign w:val="center"/>
          </w:tcPr>
          <w:p>
            <w:pPr>
              <w:jc w:val="center"/>
              <w:rPr>
                <w:rFonts w:hint="eastAsia" w:ascii="仿宋_GB2312" w:hAnsi="Calibri" w:eastAsia="仿宋_GB2312" w:cs="Times New Roman"/>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134"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培训达标率</w:t>
            </w:r>
          </w:p>
        </w:tc>
        <w:tc>
          <w:tcPr>
            <w:tcW w:w="883"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276" w:type="dxa"/>
            <w:vMerge w:val="continue"/>
            <w:shd w:val="clear" w:color="auto" w:fill="auto"/>
            <w:vAlign w:val="center"/>
          </w:tcPr>
          <w:p>
            <w:pPr>
              <w:jc w:val="center"/>
              <w:rPr>
                <w:rFonts w:hint="eastAsia" w:ascii="仿宋_GB2312" w:hAnsi="Calibri" w:eastAsia="仿宋_GB2312" w:cs="Times New Roman"/>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sz w:val="18"/>
                <w:szCs w:val="18"/>
              </w:rPr>
            </w:pPr>
          </w:p>
        </w:tc>
        <w:tc>
          <w:tcPr>
            <w:tcW w:w="1134"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培训对象满意度</w:t>
            </w:r>
          </w:p>
        </w:tc>
        <w:tc>
          <w:tcPr>
            <w:tcW w:w="883"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884" w:type="dxa"/>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2341" w:type="dxa"/>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kern w:val="0"/>
                <w:sz w:val="18"/>
                <w:szCs w:val="18"/>
              </w:rPr>
              <w:t>三、妇联综合业务管理</w:t>
            </w:r>
          </w:p>
        </w:tc>
        <w:tc>
          <w:tcPr>
            <w:tcW w:w="1276" w:type="dxa"/>
            <w:shd w:val="clear" w:color="auto" w:fill="auto"/>
            <w:vAlign w:val="center"/>
          </w:tcPr>
          <w:p>
            <w:pPr>
              <w:jc w:val="center"/>
              <w:rPr>
                <w:rFonts w:ascii="仿宋_GB2312" w:hAnsi="Calibri" w:eastAsia="仿宋_GB2312" w:cs="Times New Roman"/>
              </w:rPr>
            </w:pPr>
            <w:r>
              <w:rPr>
                <w:rFonts w:hint="eastAsia" w:ascii="宋体" w:hAnsi="宋体" w:eastAsia="仿宋_GB2312" w:cs="宋体"/>
                <w:color w:val="000000"/>
                <w:sz w:val="18"/>
                <w:szCs w:val="18"/>
              </w:rPr>
              <w:t>70.00</w:t>
            </w:r>
          </w:p>
        </w:tc>
        <w:tc>
          <w:tcPr>
            <w:tcW w:w="2976" w:type="dxa"/>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加强妇联基层组织建设，加强机关党的建设，做好机关基础设施建设与维护，推进机关信息化建设，做好市政府妇女儿童委员会办公室工作，指导所属事业单位发展，为妇女儿童事业发展提供有力保障。</w:t>
            </w:r>
          </w:p>
        </w:tc>
        <w:tc>
          <w:tcPr>
            <w:tcW w:w="2672" w:type="dxa"/>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不断加强妇联组织自身建设，提升妇联干部服务妇女的能力和水平，保障妇女维权、妇女发展工作正常有序开展。</w:t>
            </w:r>
          </w:p>
        </w:tc>
        <w:tc>
          <w:tcPr>
            <w:tcW w:w="1134" w:type="dxa"/>
            <w:shd w:val="clear" w:color="auto" w:fill="auto"/>
            <w:vAlign w:val="center"/>
          </w:tcPr>
          <w:p>
            <w:pPr>
              <w:widowControl/>
              <w:jc w:val="center"/>
              <w:textAlignment w:val="center"/>
              <w:rPr>
                <w:rFonts w:ascii="仿宋_GB2312" w:hAnsi="Calibri" w:eastAsia="仿宋_GB2312" w:cs="Times New Roman"/>
              </w:rPr>
            </w:pPr>
          </w:p>
        </w:tc>
        <w:tc>
          <w:tcPr>
            <w:tcW w:w="883"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4" w:hRule="atLeast"/>
          <w:jc w:val="center"/>
        </w:trPr>
        <w:tc>
          <w:tcPr>
            <w:tcW w:w="2341" w:type="dxa"/>
            <w:vMerge w:val="restart"/>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kern w:val="0"/>
                <w:sz w:val="18"/>
                <w:szCs w:val="18"/>
              </w:rPr>
              <w:t>1、综合业务管理</w:t>
            </w:r>
          </w:p>
        </w:tc>
        <w:tc>
          <w:tcPr>
            <w:tcW w:w="1276" w:type="dxa"/>
            <w:vMerge w:val="restart"/>
            <w:shd w:val="clear" w:color="auto" w:fill="auto"/>
            <w:vAlign w:val="center"/>
          </w:tcPr>
          <w:p>
            <w:pPr>
              <w:jc w:val="center"/>
              <w:rPr>
                <w:rFonts w:ascii="仿宋_GB2312" w:hAnsi="Calibri" w:eastAsia="仿宋_GB2312" w:cs="Times New Roman"/>
              </w:rPr>
            </w:pPr>
            <w:r>
              <w:rPr>
                <w:rFonts w:hint="eastAsia" w:ascii="宋体" w:hAnsi="宋体" w:eastAsia="仿宋_GB2312" w:cs="宋体"/>
                <w:color w:val="000000"/>
                <w:sz w:val="18"/>
                <w:szCs w:val="18"/>
              </w:rPr>
              <w:t>70.00</w:t>
            </w:r>
          </w:p>
        </w:tc>
        <w:tc>
          <w:tcPr>
            <w:tcW w:w="2976"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开展”三有两突出“基层组织示范创建，加强妇联组织自身建设。加强与社会各界的联系，推动全社会为妇女儿童办实事。积极发展同各市及各国妇女和妇女组织的友好交往。开展妇女理论研究。指导所属单位及各类协会工作。承担河北市妇女儿童工作委员会办公室的工作。承办市委、市政府交办的有关工作。</w:t>
            </w:r>
          </w:p>
        </w:tc>
        <w:tc>
          <w:tcPr>
            <w:tcW w:w="2672" w:type="dxa"/>
            <w:vMerge w:val="restart"/>
            <w:shd w:val="clear" w:color="auto" w:fill="auto"/>
            <w:vAlign w:val="center"/>
          </w:tcPr>
          <w:p>
            <w:pPr>
              <w:widowControl/>
              <w:jc w:val="center"/>
              <w:textAlignment w:val="center"/>
              <w:rPr>
                <w:rFonts w:ascii="仿宋_GB2312" w:hAnsi="Calibri" w:eastAsia="仿宋_GB2312" w:cs="Times New Roman"/>
              </w:rPr>
            </w:pPr>
            <w:r>
              <w:rPr>
                <w:rFonts w:hint="eastAsia" w:ascii="宋体" w:hAnsi="宋体" w:cs="宋体"/>
                <w:color w:val="000000"/>
                <w:kern w:val="0"/>
                <w:sz w:val="18"/>
                <w:szCs w:val="18"/>
              </w:rPr>
              <w:t>妇联基层组织的组织、阵地、队伍建设等得到加强，妇联干部工作能力和服务水平提高。</w:t>
            </w:r>
          </w:p>
        </w:tc>
        <w:tc>
          <w:tcPr>
            <w:tcW w:w="113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创建市级示范妇女之家数</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1个</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2"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1276" w:type="dxa"/>
            <w:vMerge w:val="continue"/>
            <w:shd w:val="clear" w:color="auto" w:fill="auto"/>
            <w:vAlign w:val="center"/>
          </w:tcPr>
          <w:p>
            <w:pPr>
              <w:jc w:val="center"/>
              <w:rPr>
                <w:rFonts w:hint="eastAsia" w:ascii="宋体" w:hAnsi="宋体" w:eastAsia="仿宋_GB2312" w:cs="宋体"/>
                <w:color w:val="000000"/>
                <w:sz w:val="18"/>
                <w:szCs w:val="18"/>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113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创建示范基层组织比率</w:t>
            </w:r>
          </w:p>
        </w:tc>
        <w:tc>
          <w:tcPr>
            <w:tcW w:w="88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88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1" w:hRule="atLeast"/>
          <w:jc w:val="center"/>
        </w:trPr>
        <w:tc>
          <w:tcPr>
            <w:tcW w:w="2341"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1276" w:type="dxa"/>
            <w:vMerge w:val="continue"/>
            <w:shd w:val="clear" w:color="auto" w:fill="auto"/>
            <w:vAlign w:val="center"/>
          </w:tcPr>
          <w:p>
            <w:pPr>
              <w:jc w:val="center"/>
              <w:rPr>
                <w:rFonts w:hint="eastAsia" w:ascii="宋体" w:hAnsi="宋体" w:eastAsia="仿宋_GB2312" w:cs="宋体"/>
                <w:color w:val="000000"/>
                <w:sz w:val="18"/>
                <w:szCs w:val="18"/>
              </w:rPr>
            </w:pPr>
          </w:p>
        </w:tc>
        <w:tc>
          <w:tcPr>
            <w:tcW w:w="2976"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2672" w:type="dxa"/>
            <w:vMerge w:val="continue"/>
            <w:shd w:val="clear" w:color="auto" w:fill="auto"/>
            <w:vAlign w:val="center"/>
          </w:tcPr>
          <w:p>
            <w:pPr>
              <w:widowControl/>
              <w:jc w:val="center"/>
              <w:textAlignment w:val="center"/>
              <w:rPr>
                <w:rFonts w:hint="eastAsia" w:ascii="宋体" w:hAnsi="宋体" w:cs="宋体"/>
                <w:color w:val="000000"/>
                <w:kern w:val="0"/>
                <w:sz w:val="18"/>
                <w:szCs w:val="18"/>
              </w:rPr>
            </w:pPr>
          </w:p>
        </w:tc>
        <w:tc>
          <w:tcPr>
            <w:tcW w:w="1134" w:type="dxa"/>
            <w:shd w:val="clear" w:color="auto" w:fill="auto"/>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建设市级示范儿童之家数量</w:t>
            </w:r>
          </w:p>
        </w:tc>
        <w:tc>
          <w:tcPr>
            <w:tcW w:w="883" w:type="dxa"/>
            <w:shd w:val="clear" w:color="auto" w:fill="auto"/>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2个</w:t>
            </w:r>
          </w:p>
        </w:tc>
        <w:tc>
          <w:tcPr>
            <w:tcW w:w="884" w:type="dxa"/>
            <w:shd w:val="clear" w:color="auto" w:fill="auto"/>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1个</w:t>
            </w:r>
          </w:p>
        </w:tc>
        <w:tc>
          <w:tcPr>
            <w:tcW w:w="884" w:type="dxa"/>
            <w:shd w:val="clear" w:color="auto" w:fill="auto"/>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c>
          <w:tcPr>
            <w:tcW w:w="884" w:type="dxa"/>
            <w:shd w:val="clear" w:color="auto" w:fill="auto"/>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2341" w:type="dxa"/>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kern w:val="0"/>
                <w:sz w:val="18"/>
                <w:szCs w:val="18"/>
              </w:rPr>
              <w:t>四、妇女、儿童培训及各类活动</w:t>
            </w:r>
          </w:p>
        </w:tc>
        <w:tc>
          <w:tcPr>
            <w:tcW w:w="1276" w:type="dxa"/>
            <w:shd w:val="clear" w:color="auto" w:fill="auto"/>
            <w:vAlign w:val="center"/>
          </w:tcPr>
          <w:p>
            <w:pPr>
              <w:jc w:val="center"/>
              <w:rPr>
                <w:rFonts w:ascii="仿宋_GB2312" w:hAnsi="Calibri" w:eastAsia="仿宋_GB2312" w:cs="Times New Roman"/>
              </w:rPr>
            </w:pPr>
            <w:r>
              <w:rPr>
                <w:rFonts w:hint="eastAsia" w:ascii="宋体" w:hAnsi="宋体" w:eastAsia="仿宋_GB2312" w:cs="宋体"/>
                <w:color w:val="000000"/>
                <w:sz w:val="18"/>
                <w:szCs w:val="18"/>
              </w:rPr>
              <w:t>82.00</w:t>
            </w:r>
          </w:p>
        </w:tc>
        <w:tc>
          <w:tcPr>
            <w:tcW w:w="2976" w:type="dxa"/>
            <w:shd w:val="clear" w:color="auto" w:fill="auto"/>
            <w:vAlign w:val="center"/>
          </w:tcPr>
          <w:p>
            <w:pPr>
              <w:widowControl/>
              <w:jc w:val="center"/>
              <w:textAlignment w:val="top"/>
              <w:rPr>
                <w:rFonts w:ascii="仿宋_GB2312" w:hAnsi="Calibri" w:eastAsia="仿宋_GB2312" w:cs="Times New Roman"/>
              </w:rPr>
            </w:pPr>
            <w:r>
              <w:rPr>
                <w:rFonts w:hint="eastAsia" w:ascii="宋体" w:hAnsi="宋体" w:cs="宋体"/>
                <w:color w:val="000000"/>
                <w:kern w:val="0"/>
                <w:sz w:val="18"/>
                <w:szCs w:val="18"/>
              </w:rPr>
              <w:t>以“服务于社会、服务于妇女、服务于儿童为宗旨”，通过开展各种有益于妇女儿童身心健康的活动，推动全市妇女儿童事业的发展。</w:t>
            </w:r>
          </w:p>
        </w:tc>
        <w:tc>
          <w:tcPr>
            <w:tcW w:w="2672" w:type="dxa"/>
            <w:shd w:val="clear" w:color="auto" w:fill="auto"/>
            <w:vAlign w:val="center"/>
          </w:tcPr>
          <w:p>
            <w:pPr>
              <w:widowControl/>
              <w:jc w:val="center"/>
              <w:textAlignment w:val="top"/>
              <w:rPr>
                <w:rFonts w:ascii="仿宋_GB2312" w:hAnsi="Calibri" w:eastAsia="仿宋_GB2312" w:cs="Times New Roman"/>
              </w:rPr>
            </w:pPr>
            <w:r>
              <w:rPr>
                <w:rFonts w:hint="eastAsia" w:ascii="宋体" w:hAnsi="宋体" w:cs="宋体"/>
                <w:color w:val="000000"/>
                <w:kern w:val="0"/>
                <w:sz w:val="18"/>
                <w:szCs w:val="18"/>
              </w:rPr>
              <w:t>为妇女、儿童提供思想教育和技能教育培训</w:t>
            </w:r>
          </w:p>
        </w:tc>
        <w:tc>
          <w:tcPr>
            <w:tcW w:w="1134" w:type="dxa"/>
            <w:shd w:val="clear" w:color="auto" w:fill="auto"/>
            <w:vAlign w:val="center"/>
          </w:tcPr>
          <w:p>
            <w:pPr>
              <w:widowControl/>
              <w:jc w:val="center"/>
              <w:textAlignment w:val="center"/>
              <w:rPr>
                <w:rFonts w:ascii="仿宋_GB2312" w:hAnsi="Calibri" w:eastAsia="仿宋_GB2312" w:cs="Times New Roman"/>
              </w:rPr>
            </w:pPr>
          </w:p>
        </w:tc>
        <w:tc>
          <w:tcPr>
            <w:tcW w:w="883"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c>
          <w:tcPr>
            <w:tcW w:w="884" w:type="dxa"/>
            <w:shd w:val="clear" w:color="auto" w:fill="auto"/>
            <w:vAlign w:val="center"/>
          </w:tcPr>
          <w:p>
            <w:pPr>
              <w:widowControl/>
              <w:jc w:val="center"/>
              <w:textAlignment w:val="center"/>
              <w:rPr>
                <w:rFonts w:ascii="仿宋_GB2312" w:hAnsi="Calibri"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2341" w:type="dxa"/>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kern w:val="0"/>
                <w:sz w:val="18"/>
                <w:szCs w:val="18"/>
              </w:rPr>
              <w:t>1、教育培训</w:t>
            </w:r>
          </w:p>
        </w:tc>
        <w:tc>
          <w:tcPr>
            <w:tcW w:w="1276" w:type="dxa"/>
            <w:shd w:val="clear" w:color="auto" w:fill="auto"/>
            <w:vAlign w:val="center"/>
          </w:tcPr>
          <w:p>
            <w:pPr>
              <w:jc w:val="center"/>
              <w:rPr>
                <w:rFonts w:ascii="仿宋_GB2312" w:hAnsi="Calibri" w:eastAsia="仿宋_GB2312" w:cs="Times New Roman"/>
              </w:rPr>
            </w:pPr>
            <w:r>
              <w:rPr>
                <w:rFonts w:hint="eastAsia" w:ascii="宋体" w:hAnsi="宋体" w:cs="宋体"/>
                <w:color w:val="000000"/>
                <w:sz w:val="18"/>
                <w:szCs w:val="18"/>
              </w:rPr>
              <w:t>82.00</w:t>
            </w:r>
          </w:p>
        </w:tc>
        <w:tc>
          <w:tcPr>
            <w:tcW w:w="2976" w:type="dxa"/>
            <w:shd w:val="clear" w:color="auto" w:fill="auto"/>
            <w:vAlign w:val="center"/>
          </w:tcPr>
          <w:p>
            <w:pPr>
              <w:widowControl/>
              <w:jc w:val="center"/>
              <w:textAlignment w:val="top"/>
              <w:rPr>
                <w:rFonts w:ascii="仿宋_GB2312" w:hAnsi="Calibri" w:eastAsia="仿宋_GB2312" w:cs="Times New Roman"/>
              </w:rPr>
            </w:pPr>
            <w:r>
              <w:rPr>
                <w:rFonts w:hint="eastAsia" w:ascii="宋体" w:hAnsi="宋体" w:cs="宋体"/>
                <w:color w:val="000000"/>
                <w:kern w:val="0"/>
                <w:sz w:val="18"/>
                <w:szCs w:val="18"/>
              </w:rPr>
              <w:t>积极推动和开展对妇女、儿童的科技文化及课外技能教育。</w:t>
            </w:r>
          </w:p>
        </w:tc>
        <w:tc>
          <w:tcPr>
            <w:tcW w:w="2672" w:type="dxa"/>
            <w:shd w:val="clear" w:color="auto" w:fill="auto"/>
            <w:vAlign w:val="center"/>
          </w:tcPr>
          <w:p>
            <w:pPr>
              <w:widowControl/>
              <w:jc w:val="center"/>
              <w:textAlignment w:val="top"/>
              <w:rPr>
                <w:rFonts w:ascii="仿宋_GB2312" w:hAnsi="Calibri" w:eastAsia="仿宋_GB2312" w:cs="Times New Roman"/>
              </w:rPr>
            </w:pPr>
            <w:r>
              <w:rPr>
                <w:rFonts w:hint="eastAsia" w:ascii="宋体" w:hAnsi="宋体" w:cs="宋体"/>
                <w:color w:val="000000"/>
                <w:kern w:val="0"/>
                <w:sz w:val="18"/>
                <w:szCs w:val="18"/>
              </w:rPr>
              <w:t>通过开展各种有益于妇女儿童身心健康的活动，推动全市妇女儿童事业的发展</w:t>
            </w:r>
          </w:p>
        </w:tc>
        <w:tc>
          <w:tcPr>
            <w:tcW w:w="113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培训妇女、儿童人数3000人次</w:t>
            </w:r>
          </w:p>
        </w:tc>
        <w:tc>
          <w:tcPr>
            <w:tcW w:w="883"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95%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85%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75%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2341" w:type="dxa"/>
            <w:shd w:val="clear" w:color="auto" w:fill="auto"/>
            <w:vAlign w:val="center"/>
          </w:tcPr>
          <w:p>
            <w:pPr>
              <w:widowControl/>
              <w:jc w:val="center"/>
              <w:textAlignment w:val="center"/>
              <w:rPr>
                <w:rFonts w:ascii="仿宋_GB2312" w:hAnsi="Calibri" w:eastAsia="仿宋_GB2312" w:cs="Times New Roman"/>
                <w:b/>
              </w:rPr>
            </w:pPr>
            <w:r>
              <w:rPr>
                <w:rFonts w:hint="eastAsia" w:ascii="宋体" w:hAnsi="宋体" w:cs="宋体"/>
                <w:color w:val="000000"/>
                <w:kern w:val="0"/>
                <w:sz w:val="18"/>
                <w:szCs w:val="18"/>
              </w:rPr>
              <w:t>2、组织活动</w:t>
            </w:r>
          </w:p>
        </w:tc>
        <w:tc>
          <w:tcPr>
            <w:tcW w:w="1276" w:type="dxa"/>
            <w:shd w:val="clear" w:color="auto" w:fill="auto"/>
            <w:vAlign w:val="center"/>
          </w:tcPr>
          <w:p>
            <w:pPr>
              <w:jc w:val="center"/>
              <w:rPr>
                <w:rFonts w:ascii="仿宋_GB2312" w:hAnsi="Calibri" w:eastAsia="仿宋_GB2312" w:cs="Times New Roman"/>
              </w:rPr>
            </w:pPr>
          </w:p>
        </w:tc>
        <w:tc>
          <w:tcPr>
            <w:tcW w:w="2976" w:type="dxa"/>
            <w:shd w:val="clear" w:color="auto" w:fill="auto"/>
            <w:vAlign w:val="center"/>
          </w:tcPr>
          <w:p>
            <w:pPr>
              <w:widowControl/>
              <w:jc w:val="center"/>
              <w:textAlignment w:val="top"/>
              <w:rPr>
                <w:rFonts w:ascii="仿宋_GB2312" w:hAnsi="Calibri" w:eastAsia="仿宋_GB2312" w:cs="Times New Roman"/>
              </w:rPr>
            </w:pPr>
            <w:r>
              <w:rPr>
                <w:rFonts w:hint="eastAsia" w:ascii="宋体" w:hAnsi="宋体" w:cs="宋体"/>
                <w:color w:val="000000"/>
                <w:kern w:val="0"/>
                <w:sz w:val="18"/>
                <w:szCs w:val="18"/>
              </w:rPr>
              <w:t>定期组织各类演出、考级、比赛等活动。</w:t>
            </w:r>
          </w:p>
        </w:tc>
        <w:tc>
          <w:tcPr>
            <w:tcW w:w="2672" w:type="dxa"/>
            <w:shd w:val="clear" w:color="auto" w:fill="auto"/>
            <w:vAlign w:val="center"/>
          </w:tcPr>
          <w:p>
            <w:pPr>
              <w:widowControl/>
              <w:jc w:val="center"/>
              <w:textAlignment w:val="top"/>
              <w:rPr>
                <w:rFonts w:ascii="宋体" w:hAnsi="宋体" w:cs="宋体"/>
                <w:color w:val="000000"/>
                <w:kern w:val="0"/>
                <w:sz w:val="18"/>
                <w:szCs w:val="18"/>
              </w:rPr>
            </w:pPr>
          </w:p>
          <w:p>
            <w:pPr>
              <w:jc w:val="center"/>
              <w:rPr>
                <w:rFonts w:ascii="仿宋_GB2312" w:hAnsi="Calibri" w:eastAsia="仿宋_GB2312" w:cs="Times New Roman"/>
              </w:rPr>
            </w:pPr>
            <w:r>
              <w:rPr>
                <w:rFonts w:hint="eastAsia" w:ascii="宋体" w:hAnsi="宋体" w:cs="宋体"/>
                <w:color w:val="000000"/>
                <w:kern w:val="0"/>
                <w:sz w:val="18"/>
                <w:szCs w:val="18"/>
              </w:rPr>
              <w:t>通过开展各种有益于妇女儿童身心健康的活动，推动全市妇女儿童事业的发展</w:t>
            </w:r>
          </w:p>
        </w:tc>
        <w:tc>
          <w:tcPr>
            <w:tcW w:w="113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举办活动20次</w:t>
            </w:r>
          </w:p>
        </w:tc>
        <w:tc>
          <w:tcPr>
            <w:tcW w:w="883"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95%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85%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75%</w:t>
            </w:r>
          </w:p>
        </w:tc>
        <w:tc>
          <w:tcPr>
            <w:tcW w:w="884" w:type="dxa"/>
            <w:shd w:val="clear" w:color="auto" w:fill="auto"/>
            <w:vAlign w:val="center"/>
          </w:tcPr>
          <w:p>
            <w:pPr>
              <w:widowControl/>
              <w:jc w:val="left"/>
              <w:textAlignment w:val="center"/>
              <w:rPr>
                <w:rFonts w:ascii="仿宋_GB2312" w:hAnsi="Calibri" w:eastAsia="仿宋_GB2312" w:cs="Times New Roman"/>
              </w:rPr>
            </w:pPr>
            <w:r>
              <w:rPr>
                <w:rFonts w:hint="eastAsia" w:ascii="宋体" w:hAnsi="宋体" w:cs="宋体"/>
                <w:color w:val="000000"/>
                <w:kern w:val="0"/>
                <w:sz w:val="18"/>
                <w:szCs w:val="18"/>
              </w:rPr>
              <w:t>65%</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303廊坊市妇女联合会</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妇女联合会</w:t>
      </w:r>
      <w:r>
        <w:rPr>
          <w:rFonts w:ascii="Times New Roman" w:hAnsi="Times New Roman" w:eastAsia="仿宋_GB2312" w:cs="Times New Roman"/>
          <w:sz w:val="32"/>
          <w:szCs w:val="32"/>
        </w:rPr>
        <w:t>（含所属单位）上年末固定资产金额为</w:t>
      </w:r>
      <w:r>
        <w:rPr>
          <w:rFonts w:hint="default" w:ascii="Times New Roman" w:hAnsi="Times New Roman" w:eastAsia="仿宋_GB2312" w:cs="Times New Roman"/>
          <w:sz w:val="32"/>
          <w:szCs w:val="32"/>
          <w:lang w:val="en"/>
        </w:rPr>
        <w:t>69.67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妇女联合会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69.67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83.55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23.54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393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32.13</w:t>
            </w:r>
            <w:bookmarkStart w:id="4" w:name="_GoBack"/>
            <w:bookmarkEnd w:id="4"/>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2"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8619B"/>
    <w:rsid w:val="00093DA3"/>
    <w:rsid w:val="000A125B"/>
    <w:rsid w:val="000A6D09"/>
    <w:rsid w:val="000B529B"/>
    <w:rsid w:val="000C24E6"/>
    <w:rsid w:val="000C345A"/>
    <w:rsid w:val="000C3A19"/>
    <w:rsid w:val="000E048D"/>
    <w:rsid w:val="000E4305"/>
    <w:rsid w:val="000F0D09"/>
    <w:rsid w:val="00111E8E"/>
    <w:rsid w:val="001245BB"/>
    <w:rsid w:val="001251A3"/>
    <w:rsid w:val="00142102"/>
    <w:rsid w:val="0015229A"/>
    <w:rsid w:val="00160266"/>
    <w:rsid w:val="001643E8"/>
    <w:rsid w:val="00176C13"/>
    <w:rsid w:val="001919C4"/>
    <w:rsid w:val="0019723B"/>
    <w:rsid w:val="001A0943"/>
    <w:rsid w:val="001A5828"/>
    <w:rsid w:val="001B5C1D"/>
    <w:rsid w:val="001E0757"/>
    <w:rsid w:val="001E6DDC"/>
    <w:rsid w:val="001E70E9"/>
    <w:rsid w:val="001F4F71"/>
    <w:rsid w:val="001F5C92"/>
    <w:rsid w:val="001F7873"/>
    <w:rsid w:val="00230E48"/>
    <w:rsid w:val="00241FD4"/>
    <w:rsid w:val="00246317"/>
    <w:rsid w:val="00251B12"/>
    <w:rsid w:val="00265318"/>
    <w:rsid w:val="00266BE3"/>
    <w:rsid w:val="002740C2"/>
    <w:rsid w:val="002835D7"/>
    <w:rsid w:val="00290FD6"/>
    <w:rsid w:val="00293364"/>
    <w:rsid w:val="00296113"/>
    <w:rsid w:val="002966F2"/>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92C61"/>
    <w:rsid w:val="003B6D37"/>
    <w:rsid w:val="003C7F80"/>
    <w:rsid w:val="003F6859"/>
    <w:rsid w:val="00405A00"/>
    <w:rsid w:val="00414BD3"/>
    <w:rsid w:val="00424943"/>
    <w:rsid w:val="0042727E"/>
    <w:rsid w:val="0043175C"/>
    <w:rsid w:val="00437296"/>
    <w:rsid w:val="00451590"/>
    <w:rsid w:val="00451871"/>
    <w:rsid w:val="004706DE"/>
    <w:rsid w:val="004710B0"/>
    <w:rsid w:val="00472923"/>
    <w:rsid w:val="00486DCD"/>
    <w:rsid w:val="0049120C"/>
    <w:rsid w:val="00497320"/>
    <w:rsid w:val="004B0C3A"/>
    <w:rsid w:val="004C49A8"/>
    <w:rsid w:val="004C6545"/>
    <w:rsid w:val="004D5788"/>
    <w:rsid w:val="004D6AC6"/>
    <w:rsid w:val="004E3066"/>
    <w:rsid w:val="004E419C"/>
    <w:rsid w:val="004E6101"/>
    <w:rsid w:val="004E74CD"/>
    <w:rsid w:val="004F05E7"/>
    <w:rsid w:val="00524EFD"/>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C5D96"/>
    <w:rsid w:val="006E49F5"/>
    <w:rsid w:val="006E598B"/>
    <w:rsid w:val="007013C8"/>
    <w:rsid w:val="00727C84"/>
    <w:rsid w:val="0074338E"/>
    <w:rsid w:val="00753836"/>
    <w:rsid w:val="0075393C"/>
    <w:rsid w:val="00754592"/>
    <w:rsid w:val="0077396F"/>
    <w:rsid w:val="00776C08"/>
    <w:rsid w:val="007928BD"/>
    <w:rsid w:val="007A2C14"/>
    <w:rsid w:val="007B49AA"/>
    <w:rsid w:val="007C219A"/>
    <w:rsid w:val="007E1DA8"/>
    <w:rsid w:val="007F0BFC"/>
    <w:rsid w:val="007F1335"/>
    <w:rsid w:val="007F6C26"/>
    <w:rsid w:val="00800B4F"/>
    <w:rsid w:val="00800F72"/>
    <w:rsid w:val="00811795"/>
    <w:rsid w:val="00813208"/>
    <w:rsid w:val="00815157"/>
    <w:rsid w:val="0082372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2CF6"/>
    <w:rsid w:val="00925753"/>
    <w:rsid w:val="00937F8B"/>
    <w:rsid w:val="009425F4"/>
    <w:rsid w:val="00943BD8"/>
    <w:rsid w:val="00954B2C"/>
    <w:rsid w:val="00966C5C"/>
    <w:rsid w:val="00972C1A"/>
    <w:rsid w:val="00973104"/>
    <w:rsid w:val="00982D81"/>
    <w:rsid w:val="009842F6"/>
    <w:rsid w:val="00995BF0"/>
    <w:rsid w:val="009A16D5"/>
    <w:rsid w:val="009A353D"/>
    <w:rsid w:val="009A7F65"/>
    <w:rsid w:val="009B0B77"/>
    <w:rsid w:val="009B511E"/>
    <w:rsid w:val="009B5215"/>
    <w:rsid w:val="009C6C86"/>
    <w:rsid w:val="009D37D3"/>
    <w:rsid w:val="00A15635"/>
    <w:rsid w:val="00A16E6C"/>
    <w:rsid w:val="00A36F96"/>
    <w:rsid w:val="00A40F60"/>
    <w:rsid w:val="00A44E3D"/>
    <w:rsid w:val="00A72D2E"/>
    <w:rsid w:val="00A74447"/>
    <w:rsid w:val="00A74CE5"/>
    <w:rsid w:val="00A77500"/>
    <w:rsid w:val="00A8536F"/>
    <w:rsid w:val="00A9060E"/>
    <w:rsid w:val="00A911E7"/>
    <w:rsid w:val="00A939D9"/>
    <w:rsid w:val="00AB77AA"/>
    <w:rsid w:val="00AC4748"/>
    <w:rsid w:val="00AC705D"/>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87F11"/>
    <w:rsid w:val="00CA7176"/>
    <w:rsid w:val="00CB3A27"/>
    <w:rsid w:val="00CB51D7"/>
    <w:rsid w:val="00CC75B0"/>
    <w:rsid w:val="00CC7B84"/>
    <w:rsid w:val="00CD2773"/>
    <w:rsid w:val="00CE01BA"/>
    <w:rsid w:val="00CE143B"/>
    <w:rsid w:val="00CE3A91"/>
    <w:rsid w:val="00D07DBA"/>
    <w:rsid w:val="00D23C16"/>
    <w:rsid w:val="00D27003"/>
    <w:rsid w:val="00D324AD"/>
    <w:rsid w:val="00D86841"/>
    <w:rsid w:val="00D9307A"/>
    <w:rsid w:val="00DA76CB"/>
    <w:rsid w:val="00DB4322"/>
    <w:rsid w:val="00DB55DE"/>
    <w:rsid w:val="00DD1D0C"/>
    <w:rsid w:val="00DE186D"/>
    <w:rsid w:val="00DF1B24"/>
    <w:rsid w:val="00E167C7"/>
    <w:rsid w:val="00E2218A"/>
    <w:rsid w:val="00E32E4D"/>
    <w:rsid w:val="00E55B78"/>
    <w:rsid w:val="00E666AB"/>
    <w:rsid w:val="00E76361"/>
    <w:rsid w:val="00E84020"/>
    <w:rsid w:val="00E906B2"/>
    <w:rsid w:val="00EA35D0"/>
    <w:rsid w:val="00EB7A80"/>
    <w:rsid w:val="00EC47F6"/>
    <w:rsid w:val="00ED4DC1"/>
    <w:rsid w:val="00EE699E"/>
    <w:rsid w:val="00EE6D6D"/>
    <w:rsid w:val="00EF08C9"/>
    <w:rsid w:val="00EF535E"/>
    <w:rsid w:val="00F471F7"/>
    <w:rsid w:val="00F50159"/>
    <w:rsid w:val="00F66032"/>
    <w:rsid w:val="00F73E0B"/>
    <w:rsid w:val="00F83B96"/>
    <w:rsid w:val="00F8441D"/>
    <w:rsid w:val="00F87C1E"/>
    <w:rsid w:val="00F958C2"/>
    <w:rsid w:val="00FA740E"/>
    <w:rsid w:val="00FC06C7"/>
    <w:rsid w:val="00FD5DB4"/>
    <w:rsid w:val="00FD676E"/>
    <w:rsid w:val="00FE1724"/>
    <w:rsid w:val="00FE5FBF"/>
    <w:rsid w:val="00FE753C"/>
    <w:rsid w:val="00FF2346"/>
    <w:rsid w:val="52E21C87"/>
    <w:rsid w:val="7B9D2F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824</Words>
  <Characters>4700</Characters>
  <Lines>39</Lines>
  <Paragraphs>11</Paragraphs>
  <TotalTime>146</TotalTime>
  <ScaleCrop>false</ScaleCrop>
  <LinksUpToDate>false</LinksUpToDate>
  <CharactersWithSpaces>5513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user</cp:lastModifiedBy>
  <cp:lastPrinted>2018-01-30T14:12:00Z</cp:lastPrinted>
  <dcterms:modified xsi:type="dcterms:W3CDTF">2019-02-15T10:46:36Z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