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CE" w:rsidRDefault="00F26A3B">
      <w:pPr>
        <w:jc w:val="center"/>
        <w:rPr>
          <w:rFonts w:ascii="Times New Roman" w:eastAsia="方正小标宋简体" w:hAnsi="Times New Roman" w:cs="Times New Roman"/>
          <w:kern w:val="2"/>
          <w:sz w:val="44"/>
          <w:szCs w:val="44"/>
        </w:rPr>
      </w:pPr>
      <w:r>
        <w:rPr>
          <w:rFonts w:ascii="Times New Roman" w:eastAsia="方正小标宋简体" w:hAnsi="Times New Roman" w:cs="Times New Roman" w:hint="eastAsia"/>
          <w:kern w:val="2"/>
          <w:sz w:val="44"/>
          <w:szCs w:val="44"/>
        </w:rPr>
        <w:t>廊坊市妇女儿童活动中心</w:t>
      </w:r>
    </w:p>
    <w:p w:rsidR="009A43CE" w:rsidRDefault="00F26A3B">
      <w:pPr>
        <w:jc w:val="center"/>
        <w:rPr>
          <w:rFonts w:ascii="Times New Roman" w:eastAsia="宋体" w:hAnsi="宋体" w:cs="宋体"/>
          <w:sz w:val="44"/>
        </w:rPr>
      </w:pPr>
      <w:r>
        <w:rPr>
          <w:rFonts w:ascii="Times New Roman" w:eastAsia="方正小标宋简体" w:hAnsi="Times New Roman" w:cs="Times New Roman" w:hint="eastAsia"/>
          <w:kern w:val="2"/>
          <w:sz w:val="44"/>
          <w:szCs w:val="44"/>
        </w:rPr>
        <w:t>2021</w:t>
      </w:r>
      <w:r>
        <w:rPr>
          <w:rFonts w:ascii="Times New Roman" w:eastAsia="方正小标宋简体" w:hAnsi="Times New Roman" w:cs="Times New Roman" w:hint="eastAsia"/>
          <w:kern w:val="2"/>
          <w:sz w:val="44"/>
          <w:szCs w:val="44"/>
        </w:rPr>
        <w:t>年单位预算信息公开情况说明</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按照《预算法》、《地方预决算公开操作规程》和《河北省省级预算公开办法》规定，现将廊坊市妇女儿童活动中心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年部门预算公开如下：</w:t>
      </w:r>
    </w:p>
    <w:p w:rsidR="009A43CE" w:rsidRDefault="00F26A3B">
      <w:pPr>
        <w:widowControl w:val="0"/>
        <w:adjustRightInd/>
        <w:snapToGrid/>
        <w:spacing w:after="0" w:line="584"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一、部门职责及机构设置情况</w:t>
      </w:r>
      <w:bookmarkStart w:id="0" w:name="_GoBack"/>
      <w:bookmarkEnd w:id="0"/>
    </w:p>
    <w:p w:rsidR="009A43CE" w:rsidRDefault="00F26A3B">
      <w:pPr>
        <w:widowControl w:val="0"/>
        <w:adjustRightInd/>
        <w:snapToGrid/>
        <w:spacing w:after="0" w:line="584" w:lineRule="exact"/>
        <w:ind w:firstLineChars="200" w:firstLine="643"/>
        <w:jc w:val="both"/>
        <w:rPr>
          <w:rFonts w:ascii="Times New Roman" w:eastAsia="楷体_GB2312" w:hAnsi="Times New Roman" w:cs="Times New Roman"/>
          <w:b/>
          <w:kern w:val="2"/>
          <w:sz w:val="32"/>
          <w:szCs w:val="32"/>
        </w:rPr>
      </w:pPr>
      <w:r>
        <w:rPr>
          <w:rFonts w:ascii="Times New Roman" w:eastAsia="楷体_GB2312" w:hAnsi="Times New Roman" w:cs="Times New Roman" w:hint="eastAsia"/>
          <w:b/>
          <w:kern w:val="2"/>
          <w:sz w:val="32"/>
          <w:szCs w:val="32"/>
        </w:rPr>
        <w:t>部门职责：</w:t>
      </w:r>
    </w:p>
    <w:p w:rsidR="009A43CE" w:rsidRDefault="00F26A3B">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廊坊市妇女儿童活动中心是市政府投资、市编委批准成立的科级事业单位，隶属于廊坊市妇联，拨款形式为财政定额补助，其宗旨为服务于社会、服务于妇女、服务于儿童。</w:t>
      </w:r>
    </w:p>
    <w:p w:rsidR="009A43CE" w:rsidRDefault="00F26A3B">
      <w:pPr>
        <w:widowControl w:val="0"/>
        <w:adjustRightInd/>
        <w:snapToGrid/>
        <w:spacing w:after="0" w:line="584" w:lineRule="exact"/>
        <w:ind w:firstLineChars="200" w:firstLine="643"/>
        <w:jc w:val="both"/>
        <w:rPr>
          <w:rFonts w:ascii="Times New Roman" w:eastAsia="楷体_GB2312" w:hAnsi="Times New Roman" w:cs="Times New Roman"/>
          <w:b/>
          <w:kern w:val="2"/>
          <w:sz w:val="32"/>
          <w:szCs w:val="32"/>
        </w:rPr>
      </w:pPr>
      <w:r>
        <w:rPr>
          <w:rFonts w:ascii="Times New Roman" w:eastAsia="楷体_GB2312" w:hAnsi="Times New Roman" w:cs="Times New Roman" w:hint="eastAsia"/>
          <w:b/>
          <w:kern w:val="2"/>
          <w:sz w:val="32"/>
          <w:szCs w:val="32"/>
        </w:rPr>
        <w:t>机构设置：</w:t>
      </w:r>
    </w:p>
    <w:p w:rsidR="009A43CE" w:rsidRDefault="00F26A3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单位机构设置情况</w:t>
      </w:r>
    </w:p>
    <w:tbl>
      <w:tblPr>
        <w:tblStyle w:val="a3"/>
        <w:tblW w:w="134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70"/>
        <w:gridCol w:w="1843"/>
        <w:gridCol w:w="2126"/>
        <w:gridCol w:w="3827"/>
      </w:tblGrid>
      <w:tr w:rsidR="009A43CE">
        <w:trPr>
          <w:cantSplit/>
          <w:trHeight w:val="567"/>
          <w:tblHeader/>
          <w:jc w:val="center"/>
        </w:trPr>
        <w:tc>
          <w:tcPr>
            <w:tcW w:w="5670" w:type="dxa"/>
            <w:vAlign w:val="center"/>
          </w:tcPr>
          <w:p w:rsidR="009A43CE" w:rsidRDefault="00F26A3B">
            <w:pPr>
              <w:spacing w:line="30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单位名称</w:t>
            </w:r>
          </w:p>
        </w:tc>
        <w:tc>
          <w:tcPr>
            <w:tcW w:w="1843" w:type="dxa"/>
            <w:vAlign w:val="center"/>
          </w:tcPr>
          <w:p w:rsidR="009A43CE" w:rsidRDefault="00F26A3B">
            <w:pPr>
              <w:spacing w:line="30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单位性质</w:t>
            </w:r>
          </w:p>
        </w:tc>
        <w:tc>
          <w:tcPr>
            <w:tcW w:w="2126" w:type="dxa"/>
            <w:vAlign w:val="center"/>
          </w:tcPr>
          <w:p w:rsidR="009A43CE" w:rsidRDefault="00F26A3B">
            <w:pPr>
              <w:spacing w:line="30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单位规格</w:t>
            </w:r>
          </w:p>
        </w:tc>
        <w:tc>
          <w:tcPr>
            <w:tcW w:w="3827" w:type="dxa"/>
            <w:vAlign w:val="center"/>
          </w:tcPr>
          <w:p w:rsidR="009A43CE" w:rsidRDefault="00F26A3B">
            <w:pPr>
              <w:spacing w:line="30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经费保障形式</w:t>
            </w:r>
          </w:p>
        </w:tc>
      </w:tr>
      <w:tr w:rsidR="009A43CE">
        <w:trPr>
          <w:cantSplit/>
          <w:trHeight w:val="369"/>
          <w:jc w:val="center"/>
        </w:trPr>
        <w:tc>
          <w:tcPr>
            <w:tcW w:w="5670" w:type="dxa"/>
            <w:vAlign w:val="center"/>
          </w:tcPr>
          <w:p w:rsidR="009A43CE" w:rsidRDefault="00F26A3B">
            <w:pPr>
              <w:spacing w:line="30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廊坊市妇女儿童活动中心</w:t>
            </w:r>
          </w:p>
        </w:tc>
        <w:tc>
          <w:tcPr>
            <w:tcW w:w="1843" w:type="dxa"/>
            <w:vAlign w:val="center"/>
          </w:tcPr>
          <w:p w:rsidR="009A43CE" w:rsidRDefault="00F26A3B">
            <w:pPr>
              <w:spacing w:line="30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事业</w:t>
            </w:r>
          </w:p>
        </w:tc>
        <w:tc>
          <w:tcPr>
            <w:tcW w:w="2126" w:type="dxa"/>
            <w:vAlign w:val="center"/>
          </w:tcPr>
          <w:p w:rsidR="009A43CE" w:rsidRDefault="00F26A3B">
            <w:pPr>
              <w:spacing w:line="30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正科级</w:t>
            </w:r>
          </w:p>
        </w:tc>
        <w:tc>
          <w:tcPr>
            <w:tcW w:w="3827" w:type="dxa"/>
            <w:vAlign w:val="center"/>
          </w:tcPr>
          <w:p w:rsidR="009A43CE" w:rsidRDefault="00F26A3B">
            <w:pPr>
              <w:spacing w:line="30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其他</w:t>
            </w:r>
          </w:p>
        </w:tc>
      </w:tr>
    </w:tbl>
    <w:p w:rsidR="009A43CE" w:rsidRDefault="00F26A3B">
      <w:pPr>
        <w:widowControl w:val="0"/>
        <w:adjustRightInd/>
        <w:snapToGrid/>
        <w:spacing w:after="0" w:line="584"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二、部门预算安排的总体情况</w:t>
      </w:r>
    </w:p>
    <w:p w:rsidR="009A43CE" w:rsidRDefault="00F26A3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按照预算管理有关规定，目前我市部门预算的编制实行综合预算制度，即全部收入和支出都反映在预算中。</w:t>
      </w:r>
      <w:r>
        <w:rPr>
          <w:rFonts w:ascii="仿宋_GB2312" w:eastAsia="仿宋_GB2312" w:hAnsi="Times New Roman" w:cs="Times New Roman" w:hint="eastAsia"/>
          <w:sz w:val="32"/>
          <w:szCs w:val="32"/>
        </w:rPr>
        <w:t>廊坊市妇女儿童活动中心的收支包含在部门预算中</w:t>
      </w:r>
    </w:p>
    <w:p w:rsidR="009A43CE" w:rsidRDefault="00F26A3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9A43CE" w:rsidRDefault="00F26A3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w:t>
      </w:r>
      <w:r>
        <w:rPr>
          <w:rFonts w:ascii="Times New Roman" w:eastAsia="仿宋_GB2312" w:hAnsi="Times New Roman" w:cs="Times New Roman" w:hint="eastAsia"/>
          <w:sz w:val="32"/>
          <w:szCs w:val="32"/>
        </w:rPr>
        <w:t>我部门</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78</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78</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9A43CE" w:rsidRDefault="00F26A3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9A43CE" w:rsidRDefault="00F26A3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仿宋_GB2312" w:eastAsia="仿宋_GB2312" w:hAnsi="Times New Roman" w:cs="Times New Roman" w:hint="eastAsia"/>
          <w:sz w:val="32"/>
          <w:szCs w:val="32"/>
        </w:rPr>
        <w:t>廊坊市妇女儿童活动中心</w:t>
      </w:r>
      <w:r>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78</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78</w:t>
      </w:r>
      <w:r>
        <w:rPr>
          <w:rFonts w:ascii="Times New Roman" w:eastAsia="仿宋_GB2312" w:hAnsi="Times New Roman" w:cs="Times New Roman"/>
          <w:sz w:val="32"/>
          <w:szCs w:val="32"/>
        </w:rPr>
        <w:t>万元，主要</w:t>
      </w:r>
      <w:r>
        <w:rPr>
          <w:rFonts w:ascii="仿宋_GB2312" w:eastAsia="仿宋_GB2312" w:hAnsi="Times New Roman" w:cs="Times New Roman" w:hint="eastAsia"/>
          <w:sz w:val="32"/>
          <w:szCs w:val="32"/>
        </w:rPr>
        <w:t>主要用于保障中心正常运转支出</w:t>
      </w:r>
      <w:r>
        <w:rPr>
          <w:rFonts w:ascii="Times New Roman" w:eastAsia="仿宋_GB2312" w:hAnsi="Times New Roman" w:cs="Times New Roman"/>
          <w:sz w:val="32"/>
          <w:szCs w:val="32"/>
        </w:rPr>
        <w:t>。</w:t>
      </w:r>
    </w:p>
    <w:p w:rsidR="009A43CE" w:rsidRDefault="00F26A3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9A43CE" w:rsidRDefault="00F26A3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78</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无变动。</w:t>
      </w:r>
    </w:p>
    <w:p w:rsidR="009A43CE" w:rsidRDefault="00F26A3B">
      <w:pPr>
        <w:widowControl w:val="0"/>
        <w:autoSpaceDE w:val="0"/>
        <w:autoSpaceDN w:val="0"/>
        <w:snapToGrid/>
        <w:spacing w:after="0" w:line="584"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lastRenderedPageBreak/>
        <w:t>三、机关运行经费安排情况</w:t>
      </w:r>
    </w:p>
    <w:p w:rsidR="009A43CE" w:rsidRDefault="00F26A3B">
      <w:pPr>
        <w:autoSpaceDE w:val="0"/>
        <w:autoSpaceDN w:val="0"/>
        <w:ind w:left="19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年，我中心</w:t>
      </w:r>
      <w:r>
        <w:rPr>
          <w:rFonts w:ascii="仿宋_GB2312" w:eastAsia="仿宋_GB2312" w:hAnsi="Times New Roman" w:cs="Times New Roman" w:hint="eastAsia"/>
          <w:sz w:val="32"/>
          <w:szCs w:val="32"/>
        </w:rPr>
        <w:t>运行经费共计安排</w:t>
      </w:r>
      <w:r>
        <w:rPr>
          <w:rFonts w:ascii="仿宋_GB2312" w:eastAsia="仿宋_GB2312" w:hAnsi="Times New Roman" w:cs="Times New Roman" w:hint="eastAsia"/>
          <w:sz w:val="32"/>
          <w:szCs w:val="32"/>
        </w:rPr>
        <w:t>78</w:t>
      </w:r>
      <w:r>
        <w:rPr>
          <w:rFonts w:ascii="仿宋_GB2312" w:eastAsia="仿宋_GB2312" w:hAnsi="Times New Roman" w:cs="Times New Roman" w:hint="eastAsia"/>
          <w:sz w:val="32"/>
          <w:szCs w:val="32"/>
        </w:rPr>
        <w:t>万元，主要用于中心办公区的日常维修、办公用房水电费、办公用房取暖费、办公用房物业管理费、人员工资以及其他商品服务支出等日常运行支出。</w:t>
      </w:r>
    </w:p>
    <w:p w:rsidR="009A43CE" w:rsidRDefault="00F26A3B" w:rsidP="00F26A3B">
      <w:pPr>
        <w:spacing w:beforeLines="50" w:afterLines="50"/>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2"/>
          <w:sz w:val="32"/>
          <w:szCs w:val="32"/>
        </w:rPr>
        <w:t>四、财政拨款“三公”经费预算情况及增减变化原因</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无</w:t>
      </w:r>
    </w:p>
    <w:p w:rsidR="009A43CE" w:rsidRDefault="00F26A3B">
      <w:pPr>
        <w:widowControl w:val="0"/>
        <w:autoSpaceDE w:val="0"/>
        <w:autoSpaceDN w:val="0"/>
        <w:snapToGrid/>
        <w:spacing w:after="0" w:line="584"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五、预算绩效信息</w:t>
      </w:r>
    </w:p>
    <w:p w:rsidR="009A43CE" w:rsidRDefault="00F26A3B">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、中心运转经费绩效目标表</w:t>
      </w:r>
    </w:p>
    <w:tbl>
      <w:tblPr>
        <w:tblStyle w:val="a3"/>
        <w:tblW w:w="14176" w:type="dxa"/>
        <w:jc w:val="cente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Layout w:type="fixed"/>
        <w:tblLook w:val="04A0"/>
      </w:tblPr>
      <w:tblGrid>
        <w:gridCol w:w="1418"/>
        <w:gridCol w:w="12758"/>
      </w:tblGrid>
      <w:tr w:rsidR="009A43CE">
        <w:trPr>
          <w:trHeight w:val="397"/>
          <w:jc w:val="center"/>
        </w:trPr>
        <w:tc>
          <w:tcPr>
            <w:tcW w:w="1418" w:type="dxa"/>
            <w:tcBorders>
              <w:bottom w:val="nil"/>
            </w:tcBorders>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b/>
                <w:bCs/>
                <w:kern w:val="2"/>
                <w:sz w:val="21"/>
              </w:rPr>
              <w:t>绩效目标</w:t>
            </w:r>
          </w:p>
        </w:tc>
        <w:tc>
          <w:tcPr>
            <w:tcW w:w="12758" w:type="dxa"/>
            <w:tcBorders>
              <w:bottom w:val="nil"/>
            </w:tcBorders>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1.</w:t>
            </w:r>
            <w:r>
              <w:rPr>
                <w:rFonts w:ascii="方正书宋_GBK" w:eastAsia="方正书宋_GBK" w:hAnsi="Calibri" w:cs="Arial" w:hint="eastAsia"/>
                <w:kern w:val="2"/>
                <w:sz w:val="21"/>
              </w:rPr>
              <w:t>工资薪金及时足额发放，办公费、物业、水电费、保安保洁费等按时按标准正常缴纳，符合程序，切实维护员工利益，保证中心活动的正常运转。</w:t>
            </w:r>
          </w:p>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2.</w:t>
            </w:r>
            <w:r>
              <w:rPr>
                <w:rFonts w:ascii="方正书宋_GBK" w:eastAsia="方正书宋_GBK" w:hAnsi="Calibri" w:cs="Arial" w:hint="eastAsia"/>
                <w:kern w:val="2"/>
                <w:sz w:val="21"/>
              </w:rPr>
              <w:t>工资薪金及时足额发放，办公费、物业、水电费、保安保洁费等按时按标准正常缴纳，符合程序，切实维护员工利益，保证中心活动的正常运转，努力开创未成年人校外活动场所和妇女活动阵地新局面，为中心持续培养人才提供基础保障。</w:t>
            </w:r>
          </w:p>
        </w:tc>
      </w:tr>
    </w:tbl>
    <w:p w:rsidR="009A43CE" w:rsidRDefault="009A43CE">
      <w:pPr>
        <w:widowControl w:val="0"/>
        <w:adjustRightInd/>
        <w:snapToGrid/>
        <w:spacing w:after="0" w:line="300" w:lineRule="exact"/>
        <w:rPr>
          <w:rFonts w:ascii="方正书宋_GBK" w:eastAsia="方正书宋_GBK" w:hAnsi="Calibri" w:cs="Arial"/>
          <w:kern w:val="2"/>
          <w:sz w:val="21"/>
        </w:rPr>
      </w:pPr>
    </w:p>
    <w:tbl>
      <w:tblPr>
        <w:tblStyle w:val="a3"/>
        <w:tblW w:w="141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8"/>
        <w:gridCol w:w="2268"/>
        <w:gridCol w:w="2835"/>
        <w:gridCol w:w="2835"/>
        <w:gridCol w:w="2552"/>
        <w:gridCol w:w="2268"/>
      </w:tblGrid>
      <w:tr w:rsidR="009A43CE">
        <w:trPr>
          <w:cantSplit/>
          <w:trHeight w:val="397"/>
          <w:tblHeader/>
          <w:jc w:val="center"/>
        </w:trPr>
        <w:tc>
          <w:tcPr>
            <w:tcW w:w="1418" w:type="dxa"/>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一级指标</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二级指标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三级指标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绩效指标描述</w:t>
            </w:r>
          </w:p>
        </w:tc>
        <w:tc>
          <w:tcPr>
            <w:tcW w:w="2552" w:type="dxa"/>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指标值</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指标值确定依据</w:t>
            </w:r>
          </w:p>
        </w:tc>
      </w:tr>
      <w:tr w:rsidR="009A43CE">
        <w:trPr>
          <w:cantSplit/>
          <w:trHeight w:val="397"/>
          <w:jc w:val="center"/>
        </w:trPr>
        <w:tc>
          <w:tcPr>
            <w:tcW w:w="1418" w:type="dxa"/>
            <w:vMerge w:val="restart"/>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产出指标</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数量指标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中心开设培训类项目数量</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中心开设培训类项目数量</w:t>
            </w:r>
          </w:p>
        </w:tc>
        <w:tc>
          <w:tcPr>
            <w:tcW w:w="2552"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w:t>
            </w:r>
            <w:r>
              <w:rPr>
                <w:rFonts w:ascii="方正书宋_GBK" w:eastAsia="方正书宋_GBK" w:hAnsi="Calibri" w:cs="Arial" w:hint="eastAsia"/>
                <w:kern w:val="2"/>
                <w:sz w:val="21"/>
              </w:rPr>
              <w:t>5</w:t>
            </w:r>
            <w:r>
              <w:rPr>
                <w:rFonts w:ascii="方正书宋_GBK" w:eastAsia="方正书宋_GBK" w:hAnsi="Calibri" w:cs="Arial" w:hint="eastAsia"/>
                <w:kern w:val="2"/>
                <w:sz w:val="21"/>
              </w:rPr>
              <w:t>个</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实际开展培训项目数量</w:t>
            </w:r>
          </w:p>
        </w:tc>
      </w:tr>
      <w:tr w:rsidR="009A43CE">
        <w:trPr>
          <w:cantSplit/>
          <w:trHeight w:val="397"/>
          <w:jc w:val="center"/>
        </w:trPr>
        <w:tc>
          <w:tcPr>
            <w:tcW w:w="1418" w:type="dxa"/>
            <w:vMerge/>
            <w:vAlign w:val="center"/>
          </w:tcPr>
          <w:p w:rsidR="009A43CE" w:rsidRDefault="009A43CE">
            <w:pPr>
              <w:adjustRightInd/>
              <w:snapToGrid/>
              <w:spacing w:after="0" w:line="300" w:lineRule="exact"/>
              <w:jc w:val="left"/>
              <w:rPr>
                <w:rFonts w:ascii="方正书宋_GBK" w:eastAsia="方正书宋_GBK" w:hAnsi="Calibri" w:cs="Arial"/>
                <w:kern w:val="2"/>
                <w:sz w:val="21"/>
              </w:rPr>
            </w:pP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质量指标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项目培训合格率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项目培训合格率</w:t>
            </w:r>
          </w:p>
        </w:tc>
        <w:tc>
          <w:tcPr>
            <w:tcW w:w="2552"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w:t>
            </w:r>
            <w:r>
              <w:rPr>
                <w:rFonts w:ascii="方正书宋_GBK" w:eastAsia="方正书宋_GBK" w:hAnsi="Calibri" w:cs="Arial" w:hint="eastAsia"/>
                <w:kern w:val="2"/>
                <w:sz w:val="21"/>
              </w:rPr>
              <w:t>100%</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实际开展项目培训情况</w:t>
            </w:r>
          </w:p>
        </w:tc>
      </w:tr>
      <w:tr w:rsidR="009A43CE">
        <w:trPr>
          <w:cantSplit/>
          <w:trHeight w:val="397"/>
          <w:jc w:val="center"/>
        </w:trPr>
        <w:tc>
          <w:tcPr>
            <w:tcW w:w="1418" w:type="dxa"/>
            <w:vMerge/>
            <w:vAlign w:val="center"/>
          </w:tcPr>
          <w:p w:rsidR="009A43CE" w:rsidRDefault="009A43CE">
            <w:pPr>
              <w:adjustRightInd/>
              <w:snapToGrid/>
              <w:spacing w:after="0" w:line="300" w:lineRule="exact"/>
              <w:jc w:val="left"/>
              <w:rPr>
                <w:rFonts w:ascii="方正书宋_GBK" w:eastAsia="方正书宋_GBK" w:hAnsi="Calibri" w:cs="Arial"/>
                <w:kern w:val="2"/>
                <w:sz w:val="21"/>
              </w:rPr>
            </w:pP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时效指标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及时完成中心各项费用支出</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及时完成中心各项费用支出（包含薪金、保险、水电、物业等）</w:t>
            </w:r>
          </w:p>
        </w:tc>
        <w:tc>
          <w:tcPr>
            <w:tcW w:w="2552"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及时完成各项费用支出</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及时缴纳各类费用</w:t>
            </w:r>
          </w:p>
        </w:tc>
      </w:tr>
      <w:tr w:rsidR="009A43CE">
        <w:trPr>
          <w:cantSplit/>
          <w:trHeight w:val="397"/>
          <w:jc w:val="center"/>
        </w:trPr>
        <w:tc>
          <w:tcPr>
            <w:tcW w:w="1418" w:type="dxa"/>
            <w:vMerge/>
            <w:vAlign w:val="center"/>
          </w:tcPr>
          <w:p w:rsidR="009A43CE" w:rsidRDefault="009A43CE">
            <w:pPr>
              <w:adjustRightInd/>
              <w:snapToGrid/>
              <w:spacing w:after="0" w:line="300" w:lineRule="exact"/>
              <w:jc w:val="left"/>
              <w:rPr>
                <w:rFonts w:ascii="方正书宋_GBK" w:eastAsia="方正书宋_GBK" w:hAnsi="Calibri" w:cs="Arial"/>
                <w:kern w:val="2"/>
                <w:sz w:val="21"/>
              </w:rPr>
            </w:pP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成本指标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在预算范围内</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78</w:t>
            </w:r>
          </w:p>
        </w:tc>
        <w:tc>
          <w:tcPr>
            <w:tcW w:w="2552"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78</w:t>
            </w:r>
            <w:r>
              <w:rPr>
                <w:rFonts w:ascii="方正书宋_GBK" w:eastAsia="方正书宋_GBK" w:hAnsi="Calibri" w:cs="Arial" w:hint="eastAsia"/>
                <w:kern w:val="2"/>
                <w:sz w:val="21"/>
              </w:rPr>
              <w:t>万元</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全年实际支出情况</w:t>
            </w:r>
          </w:p>
        </w:tc>
      </w:tr>
      <w:tr w:rsidR="009A43CE">
        <w:trPr>
          <w:cantSplit/>
          <w:trHeight w:val="397"/>
          <w:jc w:val="center"/>
        </w:trPr>
        <w:tc>
          <w:tcPr>
            <w:tcW w:w="1418" w:type="dxa"/>
            <w:vMerge w:val="restart"/>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效益指标</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社会效益指标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活动中心得到良好运转，为妇女儿</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活动中心得到良好运转，为妇女儿童提供更好的服务，更优越的学习、活动环境。</w:t>
            </w:r>
          </w:p>
        </w:tc>
        <w:tc>
          <w:tcPr>
            <w:tcW w:w="2552"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中心良好运转，为妇女儿童提供更好的服务。</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中心长期稳定开展各类项目培训</w:t>
            </w:r>
          </w:p>
        </w:tc>
      </w:tr>
      <w:tr w:rsidR="009A43CE">
        <w:trPr>
          <w:cantSplit/>
          <w:trHeight w:val="397"/>
          <w:jc w:val="center"/>
        </w:trPr>
        <w:tc>
          <w:tcPr>
            <w:tcW w:w="1418" w:type="dxa"/>
            <w:vMerge/>
            <w:vAlign w:val="center"/>
          </w:tcPr>
          <w:p w:rsidR="009A43CE" w:rsidRDefault="009A43CE">
            <w:pPr>
              <w:adjustRightInd/>
              <w:snapToGrid/>
              <w:spacing w:after="0" w:line="300" w:lineRule="exact"/>
              <w:jc w:val="left"/>
              <w:rPr>
                <w:rFonts w:ascii="方正书宋_GBK" w:eastAsia="方正书宋_GBK" w:hAnsi="Calibri" w:cs="Arial"/>
                <w:b/>
                <w:bCs/>
                <w:kern w:val="2"/>
                <w:sz w:val="21"/>
              </w:rPr>
            </w:pP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可持续影响指标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持续运转、持续培养</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保证中心正常运转，并为中心持续培养人才提供基础保障。</w:t>
            </w:r>
          </w:p>
        </w:tc>
        <w:tc>
          <w:tcPr>
            <w:tcW w:w="2552"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保证中心正常运转，并为中心持续培养人才提供基础保障。</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参加学员数量稳定</w:t>
            </w:r>
          </w:p>
        </w:tc>
      </w:tr>
      <w:tr w:rsidR="009A43CE">
        <w:trPr>
          <w:cantSplit/>
          <w:trHeight w:val="397"/>
          <w:jc w:val="center"/>
        </w:trPr>
        <w:tc>
          <w:tcPr>
            <w:tcW w:w="1418" w:type="dxa"/>
            <w:vAlign w:val="center"/>
          </w:tcPr>
          <w:p w:rsidR="009A43CE" w:rsidRDefault="00F26A3B">
            <w:pPr>
              <w:adjustRightInd/>
              <w:snapToGrid/>
              <w:spacing w:after="0" w:line="300" w:lineRule="exact"/>
              <w:jc w:val="left"/>
              <w:rPr>
                <w:rFonts w:ascii="方正书宋_GBK" w:eastAsia="方正书宋_GBK" w:hAnsi="Calibri" w:cs="Arial"/>
                <w:b/>
                <w:bCs/>
                <w:kern w:val="2"/>
                <w:sz w:val="21"/>
              </w:rPr>
            </w:pPr>
            <w:r>
              <w:rPr>
                <w:rFonts w:ascii="方正书宋_GBK" w:eastAsia="方正书宋_GBK" w:hAnsi="Calibri" w:cs="Arial" w:hint="eastAsia"/>
                <w:b/>
                <w:bCs/>
                <w:kern w:val="2"/>
                <w:sz w:val="21"/>
              </w:rPr>
              <w:t>满意度指标</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服务对象满意度指标</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学员调查满意度</w:t>
            </w:r>
          </w:p>
        </w:tc>
        <w:tc>
          <w:tcPr>
            <w:tcW w:w="2835"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学员及家长对培训工作的满意度</w:t>
            </w:r>
          </w:p>
        </w:tc>
        <w:tc>
          <w:tcPr>
            <w:tcW w:w="2552"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w:t>
            </w:r>
            <w:r>
              <w:rPr>
                <w:rFonts w:ascii="方正书宋_GBK" w:eastAsia="方正书宋_GBK" w:hAnsi="Calibri" w:cs="Arial" w:hint="eastAsia"/>
                <w:kern w:val="2"/>
                <w:sz w:val="21"/>
              </w:rPr>
              <w:t>95%</w:t>
            </w:r>
          </w:p>
        </w:tc>
        <w:tc>
          <w:tcPr>
            <w:tcW w:w="2268" w:type="dxa"/>
            <w:vAlign w:val="center"/>
          </w:tcPr>
          <w:p w:rsidR="009A43CE" w:rsidRDefault="00F26A3B">
            <w:pPr>
              <w:adjustRightInd/>
              <w:snapToGrid/>
              <w:spacing w:after="0" w:line="300" w:lineRule="exact"/>
              <w:jc w:val="left"/>
              <w:rPr>
                <w:rFonts w:ascii="方正书宋_GBK" w:eastAsia="方正书宋_GBK" w:hAnsi="Calibri" w:cs="Arial"/>
                <w:kern w:val="2"/>
                <w:sz w:val="21"/>
              </w:rPr>
            </w:pPr>
            <w:r>
              <w:rPr>
                <w:rFonts w:ascii="方正书宋_GBK" w:eastAsia="方正书宋_GBK" w:hAnsi="Calibri" w:cs="Arial" w:hint="eastAsia"/>
                <w:kern w:val="2"/>
                <w:sz w:val="21"/>
              </w:rPr>
              <w:t>实际调查情况。</w:t>
            </w:r>
          </w:p>
        </w:tc>
      </w:tr>
    </w:tbl>
    <w:p w:rsidR="009A43CE" w:rsidRDefault="009A43CE">
      <w:pPr>
        <w:spacing w:line="300" w:lineRule="exact"/>
        <w:rPr>
          <w:rFonts w:ascii="仿宋_GB2312" w:eastAsia="仿宋_GB2312" w:hAnsi="仿宋_GB2312" w:cs="仿宋_GB2312"/>
          <w:b/>
          <w:sz w:val="32"/>
          <w:szCs w:val="32"/>
        </w:rPr>
      </w:pPr>
    </w:p>
    <w:p w:rsidR="009A43CE" w:rsidRDefault="00F26A3B">
      <w:pPr>
        <w:widowControl w:val="0"/>
        <w:autoSpaceDE w:val="0"/>
        <w:autoSpaceDN w:val="0"/>
        <w:snapToGrid/>
        <w:spacing w:after="0" w:line="584"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六、政府采购预算情况</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年，廊坊市妇女儿童活动中心安排政府采购预算</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p>
    <w:p w:rsidR="009A43CE" w:rsidRDefault="00F26A3B">
      <w:pPr>
        <w:widowControl w:val="0"/>
        <w:adjustRightInd/>
        <w:snapToGrid/>
        <w:spacing w:after="0"/>
        <w:jc w:val="center"/>
        <w:rPr>
          <w:rFonts w:ascii="方正小标宋_GBK" w:eastAsia="方正小标宋_GBK" w:hAnsi="Calibri" w:cs="Arial"/>
          <w:kern w:val="2"/>
          <w:sz w:val="36"/>
        </w:rPr>
      </w:pPr>
      <w:r>
        <w:rPr>
          <w:rFonts w:ascii="方正小标宋_GBK" w:eastAsia="方正小标宋_GBK" w:hAnsi="Calibri" w:cs="Arial" w:hint="eastAsia"/>
          <w:kern w:val="2"/>
          <w:sz w:val="36"/>
        </w:rPr>
        <w:t>单位政府采购预算</w:t>
      </w:r>
    </w:p>
    <w:tbl>
      <w:tblPr>
        <w:tblStyle w:val="a3"/>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9A43CE">
        <w:trPr>
          <w:cantSplit/>
          <w:trHeight w:val="369"/>
          <w:tblHeader/>
          <w:jc w:val="center"/>
        </w:trPr>
        <w:tc>
          <w:tcPr>
            <w:tcW w:w="8703" w:type="dxa"/>
            <w:gridSpan w:val="7"/>
            <w:tcBorders>
              <w:top w:val="single" w:sz="6" w:space="0" w:color="FFFFFF"/>
              <w:left w:val="single" w:sz="6" w:space="0" w:color="FFFFFF"/>
              <w:right w:val="single" w:sz="6" w:space="0" w:color="FFFFFF"/>
            </w:tcBorders>
            <w:vAlign w:val="center"/>
          </w:tcPr>
          <w:p w:rsidR="009A43CE" w:rsidRDefault="00F26A3B">
            <w:pPr>
              <w:spacing w:line="300" w:lineRule="exact"/>
              <w:jc w:val="left"/>
              <w:rPr>
                <w:rFonts w:ascii="仿宋_GB2312" w:eastAsia="仿宋_GB2312" w:hAnsi="仿宋_GB2312" w:cs="仿宋_GB2312"/>
                <w:sz w:val="32"/>
                <w:szCs w:val="32"/>
              </w:rPr>
            </w:pPr>
            <w:r>
              <w:rPr>
                <w:rFonts w:ascii="方正小标宋_GBK" w:eastAsia="方正小标宋_GBK" w:hAnsi="Calibri" w:cs="Arial" w:hint="eastAsia"/>
                <w:kern w:val="2"/>
                <w:sz w:val="24"/>
              </w:rPr>
              <w:t>303003</w:t>
            </w:r>
            <w:r>
              <w:rPr>
                <w:rFonts w:ascii="方正小标宋_GBK" w:eastAsia="方正小标宋_GBK" w:hAnsi="Calibri" w:cs="Arial" w:hint="eastAsia"/>
                <w:kern w:val="2"/>
                <w:sz w:val="24"/>
              </w:rPr>
              <w:t>廊坊市妇女儿童活动中心</w:t>
            </w:r>
          </w:p>
        </w:tc>
        <w:tc>
          <w:tcPr>
            <w:tcW w:w="6804" w:type="dxa"/>
            <w:gridSpan w:val="6"/>
            <w:tcBorders>
              <w:top w:val="single" w:sz="6" w:space="0" w:color="FFFFFF"/>
              <w:left w:val="single" w:sz="6" w:space="0" w:color="FFFFFF"/>
              <w:right w:val="single" w:sz="6" w:space="0" w:color="FFFFFF"/>
            </w:tcBorders>
            <w:vAlign w:val="center"/>
          </w:tcPr>
          <w:p w:rsidR="009A43CE" w:rsidRDefault="00F26A3B">
            <w:pPr>
              <w:spacing w:line="300" w:lineRule="exact"/>
              <w:jc w:val="right"/>
              <w:rPr>
                <w:rFonts w:ascii="仿宋_GB2312" w:eastAsia="仿宋_GB2312" w:hAnsi="仿宋_GB2312" w:cs="仿宋_GB2312"/>
                <w:sz w:val="32"/>
                <w:szCs w:val="32"/>
              </w:rPr>
            </w:pPr>
            <w:r>
              <w:rPr>
                <w:rFonts w:ascii="方正小标宋_GBK" w:eastAsia="方正小标宋_GBK" w:hAnsi="Calibri" w:cs="Arial" w:hint="eastAsia"/>
                <w:kern w:val="2"/>
                <w:sz w:val="24"/>
              </w:rPr>
              <w:t>单位：万元</w:t>
            </w:r>
          </w:p>
        </w:tc>
      </w:tr>
      <w:tr w:rsidR="009A43CE">
        <w:trPr>
          <w:cantSplit/>
          <w:trHeight w:val="369"/>
          <w:tblHeader/>
          <w:jc w:val="center"/>
        </w:trPr>
        <w:tc>
          <w:tcPr>
            <w:tcW w:w="3118" w:type="dxa"/>
            <w:gridSpan w:val="2"/>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政府采购项目来源</w:t>
            </w:r>
          </w:p>
        </w:tc>
        <w:tc>
          <w:tcPr>
            <w:tcW w:w="1531" w:type="dxa"/>
            <w:vMerge w:val="restart"/>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采购物品名称</w:t>
            </w:r>
          </w:p>
        </w:tc>
        <w:tc>
          <w:tcPr>
            <w:tcW w:w="1531" w:type="dxa"/>
            <w:vMerge w:val="restart"/>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政府采购目录序号</w:t>
            </w:r>
          </w:p>
        </w:tc>
        <w:tc>
          <w:tcPr>
            <w:tcW w:w="709" w:type="dxa"/>
            <w:vMerge w:val="restart"/>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计量</w:t>
            </w:r>
            <w:r>
              <w:rPr>
                <w:rFonts w:ascii="方正书宋_GBK" w:eastAsia="方正书宋_GBK" w:hAnsi="Calibri" w:cs="Arial" w:hint="eastAsia"/>
                <w:b/>
                <w:kern w:val="2"/>
                <w:sz w:val="21"/>
              </w:rPr>
              <w:t xml:space="preserve">  </w:t>
            </w:r>
            <w:r>
              <w:rPr>
                <w:rFonts w:ascii="方正书宋_GBK" w:eastAsia="方正书宋_GBK" w:hAnsi="Calibri" w:cs="Arial" w:hint="eastAsia"/>
                <w:b/>
                <w:kern w:val="2"/>
                <w:sz w:val="21"/>
              </w:rPr>
              <w:t>单位</w:t>
            </w:r>
          </w:p>
        </w:tc>
        <w:tc>
          <w:tcPr>
            <w:tcW w:w="907" w:type="dxa"/>
            <w:vMerge w:val="restart"/>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数量</w:t>
            </w:r>
          </w:p>
        </w:tc>
        <w:tc>
          <w:tcPr>
            <w:tcW w:w="907" w:type="dxa"/>
            <w:vMerge w:val="restart"/>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单价</w:t>
            </w:r>
          </w:p>
        </w:tc>
        <w:tc>
          <w:tcPr>
            <w:tcW w:w="6804" w:type="dxa"/>
            <w:gridSpan w:val="6"/>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政府采购金额（当年单位预算安排资金）</w:t>
            </w:r>
          </w:p>
        </w:tc>
      </w:tr>
      <w:tr w:rsidR="009A43CE">
        <w:trPr>
          <w:cantSplit/>
          <w:trHeight w:val="369"/>
          <w:tblHeader/>
          <w:jc w:val="center"/>
        </w:trPr>
        <w:tc>
          <w:tcPr>
            <w:tcW w:w="1984" w:type="dxa"/>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项目名称</w:t>
            </w:r>
          </w:p>
        </w:tc>
        <w:tc>
          <w:tcPr>
            <w:tcW w:w="1134" w:type="dxa"/>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预算资金</w:t>
            </w:r>
          </w:p>
        </w:tc>
        <w:tc>
          <w:tcPr>
            <w:tcW w:w="1531" w:type="dxa"/>
            <w:vMerge/>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531" w:type="dxa"/>
            <w:vMerge/>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709" w:type="dxa"/>
            <w:vMerge/>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907" w:type="dxa"/>
            <w:vMerge/>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907" w:type="dxa"/>
            <w:vMerge/>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134" w:type="dxa"/>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合计</w:t>
            </w:r>
          </w:p>
        </w:tc>
        <w:tc>
          <w:tcPr>
            <w:tcW w:w="1134" w:type="dxa"/>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一般公共预算拨款</w:t>
            </w:r>
          </w:p>
        </w:tc>
        <w:tc>
          <w:tcPr>
            <w:tcW w:w="1134" w:type="dxa"/>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基金预算拨款</w:t>
            </w:r>
          </w:p>
        </w:tc>
        <w:tc>
          <w:tcPr>
            <w:tcW w:w="1134" w:type="dxa"/>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国有资本经营预算拨款</w:t>
            </w:r>
          </w:p>
        </w:tc>
        <w:tc>
          <w:tcPr>
            <w:tcW w:w="1134" w:type="dxa"/>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财政专户核拨</w:t>
            </w:r>
          </w:p>
        </w:tc>
        <w:tc>
          <w:tcPr>
            <w:tcW w:w="1134" w:type="dxa"/>
            <w:vAlign w:val="center"/>
          </w:tcPr>
          <w:p w:rsidR="009A43CE" w:rsidRDefault="00F26A3B">
            <w:pPr>
              <w:adjustRightInd/>
              <w:snapToGrid/>
              <w:spacing w:after="0" w:line="300" w:lineRule="exact"/>
              <w:jc w:val="center"/>
              <w:rPr>
                <w:rFonts w:ascii="方正书宋_GBK" w:eastAsia="方正书宋_GBK" w:hAnsi="Calibri" w:cs="Arial"/>
                <w:b/>
                <w:kern w:val="2"/>
                <w:sz w:val="21"/>
              </w:rPr>
            </w:pPr>
            <w:r>
              <w:rPr>
                <w:rFonts w:ascii="方正书宋_GBK" w:eastAsia="方正书宋_GBK" w:hAnsi="Calibri" w:cs="Arial" w:hint="eastAsia"/>
                <w:b/>
                <w:kern w:val="2"/>
                <w:sz w:val="21"/>
              </w:rPr>
              <w:t>单位资金</w:t>
            </w:r>
          </w:p>
        </w:tc>
      </w:tr>
      <w:tr w:rsidR="009A43CE">
        <w:trPr>
          <w:cantSplit/>
          <w:trHeight w:val="369"/>
          <w:jc w:val="center"/>
        </w:trPr>
        <w:tc>
          <w:tcPr>
            <w:tcW w:w="1984"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134"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531"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531"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709"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907"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907"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134"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134"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134"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134"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134"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c>
          <w:tcPr>
            <w:tcW w:w="1134" w:type="dxa"/>
            <w:vAlign w:val="center"/>
          </w:tcPr>
          <w:p w:rsidR="009A43CE" w:rsidRDefault="009A43CE">
            <w:pPr>
              <w:adjustRightInd/>
              <w:snapToGrid/>
              <w:spacing w:after="0" w:line="300" w:lineRule="exact"/>
              <w:jc w:val="center"/>
              <w:rPr>
                <w:rFonts w:ascii="方正书宋_GBK" w:eastAsia="方正书宋_GBK" w:hAnsi="Calibri" w:cs="Arial"/>
                <w:b/>
                <w:kern w:val="2"/>
                <w:sz w:val="21"/>
              </w:rPr>
            </w:pPr>
          </w:p>
        </w:tc>
      </w:tr>
    </w:tbl>
    <w:p w:rsidR="009A43CE" w:rsidRDefault="00F2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注：无政府采购预算，空表列示。</w:t>
      </w:r>
    </w:p>
    <w:p w:rsidR="009A43CE" w:rsidRDefault="00F2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p>
    <w:p w:rsidR="009A43CE" w:rsidRDefault="00F26A3B">
      <w:pPr>
        <w:widowControl w:val="0"/>
        <w:autoSpaceDE w:val="0"/>
        <w:autoSpaceDN w:val="0"/>
        <w:snapToGrid/>
        <w:spacing w:after="0" w:line="584" w:lineRule="exact"/>
        <w:ind w:firstLineChars="200" w:firstLine="640"/>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七、国有资产信息</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廊坊市妇女儿童活动中心上年末固定资产金额为</w:t>
      </w:r>
      <w:r>
        <w:rPr>
          <w:rFonts w:ascii="仿宋_GB2312" w:eastAsia="仿宋_GB2312" w:hAnsi="仿宋_GB2312" w:cs="仿宋_GB2312" w:hint="eastAsia"/>
          <w:sz w:val="32"/>
          <w:szCs w:val="32"/>
        </w:rPr>
        <w:t>3.04</w:t>
      </w:r>
      <w:r>
        <w:rPr>
          <w:rFonts w:ascii="仿宋_GB2312" w:eastAsia="仿宋_GB2312" w:hAnsi="仿宋_GB2312" w:cs="仿宋_GB2312" w:hint="eastAsia"/>
          <w:sz w:val="32"/>
          <w:szCs w:val="32"/>
        </w:rPr>
        <w:t>万元（详见下表），</w:t>
      </w:r>
      <w:r>
        <w:rPr>
          <w:rFonts w:ascii="仿宋_GB2312" w:eastAsia="仿宋_GB2312" w:hAnsi="黑体" w:cs="Times New Roman" w:hint="eastAsia"/>
          <w:sz w:val="32"/>
          <w:szCs w:val="32"/>
        </w:rPr>
        <w:t>本年度我部门无拟购置固定资产</w:t>
      </w:r>
      <w:r>
        <w:rPr>
          <w:rFonts w:ascii="仿宋_GB2312" w:eastAsia="仿宋_GB2312" w:hAnsi="仿宋_GB2312" w:cs="仿宋_GB2312" w:hint="eastAsia"/>
          <w:sz w:val="32"/>
          <w:szCs w:val="32"/>
        </w:rPr>
        <w:t>。</w:t>
      </w:r>
    </w:p>
    <w:p w:rsidR="009A43CE" w:rsidRDefault="00F26A3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单位固定资产占用情况表</w:t>
      </w:r>
    </w:p>
    <w:tbl>
      <w:tblPr>
        <w:tblStyle w:val="a3"/>
        <w:tblW w:w="130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1"/>
        <w:gridCol w:w="2835"/>
        <w:gridCol w:w="2835"/>
      </w:tblGrid>
      <w:tr w:rsidR="009A43CE">
        <w:trPr>
          <w:cantSplit/>
          <w:tblHeader/>
          <w:jc w:val="center"/>
        </w:trPr>
        <w:tc>
          <w:tcPr>
            <w:tcW w:w="7371" w:type="dxa"/>
            <w:tcBorders>
              <w:top w:val="single" w:sz="6" w:space="0" w:color="FFFFFF"/>
              <w:left w:val="single" w:sz="6" w:space="0" w:color="FFFFFF"/>
              <w:right w:val="single" w:sz="6" w:space="0" w:color="FFFFFF"/>
            </w:tcBorders>
            <w:vAlign w:val="center"/>
          </w:tcPr>
          <w:p w:rsidR="009A43CE" w:rsidRDefault="00F26A3B">
            <w:pPr>
              <w:widowControl/>
              <w:adjustRightInd/>
              <w:snapToGrid/>
              <w:spacing w:after="0" w:line="584" w:lineRule="exact"/>
              <w:jc w:val="left"/>
              <w:rPr>
                <w:rFonts w:ascii="Times New Roman" w:eastAsia="仿宋_GB2312" w:hAnsi="Times New Roman" w:cs="Times New Roman"/>
              </w:rPr>
            </w:pPr>
            <w:r>
              <w:rPr>
                <w:rFonts w:ascii="Times New Roman" w:eastAsia="仿宋_GB2312" w:hAnsi="Times New Roman" w:cs="Times New Roman" w:hint="eastAsia"/>
              </w:rPr>
              <w:t>303003</w:t>
            </w:r>
            <w:r>
              <w:rPr>
                <w:rFonts w:ascii="Times New Roman" w:eastAsia="仿宋_GB2312" w:hAnsi="Times New Roman" w:cs="Times New Roman" w:hint="eastAsia"/>
              </w:rPr>
              <w:t>廊坊市妇女儿童活动中心</w:t>
            </w:r>
          </w:p>
        </w:tc>
        <w:tc>
          <w:tcPr>
            <w:tcW w:w="5670" w:type="dxa"/>
            <w:gridSpan w:val="2"/>
            <w:tcBorders>
              <w:top w:val="single" w:sz="6" w:space="0" w:color="FFFFFF"/>
              <w:left w:val="single" w:sz="6" w:space="0" w:color="FFFFFF"/>
              <w:right w:val="single" w:sz="6" w:space="0" w:color="FFFFFF"/>
            </w:tcBorders>
            <w:vAlign w:val="center"/>
          </w:tcPr>
          <w:p w:rsidR="009A43CE" w:rsidRDefault="00F26A3B">
            <w:pPr>
              <w:widowControl/>
              <w:adjustRightInd/>
              <w:snapToGrid/>
              <w:spacing w:after="0" w:line="584" w:lineRule="exact"/>
              <w:ind w:firstLineChars="1100" w:firstLine="2420"/>
              <w:jc w:val="left"/>
              <w:rPr>
                <w:rFonts w:ascii="Times New Roman" w:eastAsia="仿宋_GB2312" w:hAnsi="Times New Roman" w:cs="Times New Roman"/>
              </w:rPr>
            </w:pPr>
            <w:r>
              <w:rPr>
                <w:rFonts w:ascii="Times New Roman" w:eastAsia="仿宋_GB2312" w:hAnsi="Times New Roman" w:cs="Times New Roman" w:hint="eastAsia"/>
              </w:rPr>
              <w:t>截止时间：</w:t>
            </w:r>
            <w:r>
              <w:rPr>
                <w:rFonts w:ascii="Times New Roman" w:eastAsia="仿宋_GB2312" w:hAnsi="Times New Roman" w:cs="Times New Roman" w:hint="eastAsia"/>
              </w:rPr>
              <w:t>2020-12-31</w:t>
            </w:r>
          </w:p>
        </w:tc>
      </w:tr>
      <w:tr w:rsidR="009A43CE">
        <w:trPr>
          <w:cantSplit/>
          <w:tblHeader/>
          <w:jc w:val="center"/>
        </w:trPr>
        <w:tc>
          <w:tcPr>
            <w:tcW w:w="7371" w:type="dxa"/>
            <w:vAlign w:val="center"/>
          </w:tcPr>
          <w:p w:rsidR="009A43CE" w:rsidRDefault="00F26A3B">
            <w:pPr>
              <w:spacing w:line="30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项</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目</w:t>
            </w:r>
          </w:p>
        </w:tc>
        <w:tc>
          <w:tcPr>
            <w:tcW w:w="2835" w:type="dxa"/>
            <w:vAlign w:val="center"/>
          </w:tcPr>
          <w:p w:rsidR="009A43CE" w:rsidRDefault="00F26A3B">
            <w:pPr>
              <w:spacing w:line="30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数量</w:t>
            </w:r>
          </w:p>
        </w:tc>
        <w:tc>
          <w:tcPr>
            <w:tcW w:w="2835" w:type="dxa"/>
            <w:vAlign w:val="center"/>
          </w:tcPr>
          <w:p w:rsidR="009A43CE" w:rsidRDefault="00F26A3B">
            <w:pPr>
              <w:spacing w:line="30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价值（金额单位：万元）</w:t>
            </w:r>
          </w:p>
        </w:tc>
      </w:tr>
      <w:tr w:rsidR="009A43CE">
        <w:trPr>
          <w:cantSplit/>
          <w:jc w:val="center"/>
        </w:trPr>
        <w:tc>
          <w:tcPr>
            <w:tcW w:w="7371" w:type="dxa"/>
            <w:vAlign w:val="center"/>
          </w:tcPr>
          <w:p w:rsidR="009A43CE" w:rsidRDefault="00F26A3B">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其他固定资产</w:t>
            </w:r>
          </w:p>
        </w:tc>
        <w:tc>
          <w:tcPr>
            <w:tcW w:w="2835" w:type="dxa"/>
            <w:vAlign w:val="center"/>
          </w:tcPr>
          <w:p w:rsidR="009A43CE" w:rsidRDefault="00F26A3B">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294</w:t>
            </w:r>
          </w:p>
        </w:tc>
        <w:tc>
          <w:tcPr>
            <w:tcW w:w="2835" w:type="dxa"/>
            <w:vAlign w:val="center"/>
          </w:tcPr>
          <w:p w:rsidR="009A43CE" w:rsidRDefault="00F26A3B">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3.04</w:t>
            </w:r>
          </w:p>
        </w:tc>
      </w:tr>
    </w:tbl>
    <w:p w:rsidR="009A43CE" w:rsidRDefault="00F2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注：无固定资产占用情况，空表列示。</w:t>
      </w:r>
    </w:p>
    <w:p w:rsidR="009A43CE" w:rsidRDefault="00F2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A43CE" w:rsidRDefault="00F26A3B">
      <w:pPr>
        <w:widowControl w:val="0"/>
        <w:autoSpaceDE w:val="0"/>
        <w:autoSpaceDN w:val="0"/>
        <w:snapToGrid/>
        <w:spacing w:after="0" w:line="584"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hint="eastAsia"/>
          <w:b/>
          <w:bCs/>
          <w:kern w:val="2"/>
          <w:sz w:val="32"/>
          <w:szCs w:val="32"/>
        </w:rPr>
        <w:t>八、名词解释</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一般公共预算拨款收入：</w:t>
      </w:r>
      <w:r>
        <w:rPr>
          <w:rFonts w:ascii="仿宋_GB2312" w:eastAsia="仿宋_GB2312" w:hAnsi="仿宋_GB2312" w:cs="仿宋_GB2312" w:hint="eastAsia"/>
          <w:sz w:val="32"/>
          <w:szCs w:val="32"/>
        </w:rPr>
        <w:t>指市</w:t>
      </w:r>
      <w:r>
        <w:rPr>
          <w:rFonts w:ascii="仿宋_GB2312" w:eastAsia="仿宋_GB2312" w:hAnsi="仿宋_GB2312" w:cs="仿宋_GB2312" w:hint="eastAsia"/>
          <w:sz w:val="32"/>
          <w:szCs w:val="32"/>
        </w:rPr>
        <w:t>级财政当年拨付的资金。</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事业收入：</w:t>
      </w:r>
      <w:r>
        <w:rPr>
          <w:rFonts w:ascii="仿宋_GB2312" w:eastAsia="仿宋_GB2312" w:hAnsi="仿宋_GB2312" w:cs="仿宋_GB2312" w:hint="eastAsia"/>
          <w:sz w:val="32"/>
          <w:szCs w:val="32"/>
        </w:rPr>
        <w:t>指事业单位开展专业业务活动及辅助活动所取得的收入。</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其他收入：</w:t>
      </w:r>
      <w:r>
        <w:rPr>
          <w:rFonts w:ascii="仿宋_GB2312" w:eastAsia="仿宋_GB2312" w:hAnsi="仿宋_GB2312" w:cs="仿宋_GB2312" w:hint="eastAsia"/>
          <w:sz w:val="32"/>
          <w:szCs w:val="32"/>
        </w:rPr>
        <w:t>指除“一般公共预算拨款收入”、“事业收入”等以外的收入。主要是按规定动用的租房收入、存款利息收入等。</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基本支出：</w:t>
      </w:r>
      <w:r>
        <w:rPr>
          <w:rFonts w:ascii="仿宋_GB2312" w:eastAsia="仿宋_GB2312" w:hAnsi="仿宋_GB2312" w:cs="仿宋_GB2312" w:hint="eastAsia"/>
          <w:sz w:val="32"/>
          <w:szCs w:val="32"/>
        </w:rPr>
        <w:t>指为保障机构正常运转、完成日常工作任务而发生的人员支出和公用支出。</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项目支出：</w:t>
      </w:r>
      <w:r>
        <w:rPr>
          <w:rFonts w:ascii="仿宋_GB2312" w:eastAsia="仿宋_GB2312" w:hAnsi="仿宋_GB2312" w:cs="仿宋_GB2312" w:hint="eastAsia"/>
          <w:sz w:val="32"/>
          <w:szCs w:val="32"/>
        </w:rPr>
        <w:t>指在基本支出之外为完成特定行政任务和事业发展目标所发生的支出。</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上缴上级支出：</w:t>
      </w:r>
      <w:r>
        <w:rPr>
          <w:rFonts w:ascii="仿宋_GB2312" w:eastAsia="仿宋_GB2312" w:hAnsi="仿宋_GB2312" w:cs="仿宋_GB2312" w:hint="eastAsia"/>
          <w:sz w:val="32"/>
          <w:szCs w:val="32"/>
        </w:rPr>
        <w:t>指下级单位上缴上级的支出。</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“三公”经费：</w:t>
      </w:r>
      <w:r>
        <w:rPr>
          <w:rFonts w:ascii="仿宋_GB2312" w:eastAsia="仿宋_GB2312" w:hAnsi="仿宋_GB2312" w:cs="仿宋_GB2312" w:hint="eastAsia"/>
          <w:sz w:val="32"/>
          <w:szCs w:val="32"/>
        </w:rPr>
        <w:t>纳入市</w:t>
      </w:r>
      <w:r>
        <w:rPr>
          <w:rFonts w:ascii="仿宋_GB2312" w:eastAsia="仿宋_GB2312" w:hAnsi="仿宋_GB2312" w:cs="仿宋_GB2312" w:hint="eastAsia"/>
          <w:sz w:val="32"/>
          <w:szCs w:val="32"/>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机关运行费：</w:t>
      </w:r>
      <w:r>
        <w:rPr>
          <w:rFonts w:ascii="仿宋_GB2312" w:eastAsia="仿宋_GB2312" w:hAnsi="仿宋_GB2312" w:cs="仿宋_GB2312" w:hint="eastAsia"/>
          <w:sz w:val="32"/>
          <w:szCs w:val="32"/>
        </w:rPr>
        <w:t>是指各部门的公用经费，包括办公及印刷费、邮电费、差旅费、会议费、福利费、日常维修费、专用材料及一般</w:t>
      </w:r>
      <w:r>
        <w:rPr>
          <w:rFonts w:ascii="仿宋_GB2312" w:eastAsia="仿宋_GB2312" w:hAnsi="仿宋_GB2312" w:cs="仿宋_GB2312" w:hint="eastAsia"/>
          <w:sz w:val="32"/>
          <w:szCs w:val="32"/>
        </w:rPr>
        <w:t>设备购置费、办公用房水电费、办公用房取暖费、办公用房物业管理费、公务用车运行维护费以及其他费用。</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上年结转：</w:t>
      </w:r>
      <w:r>
        <w:rPr>
          <w:rFonts w:ascii="仿宋_GB2312" w:eastAsia="仿宋_GB2312" w:hAnsi="仿宋_GB2312" w:cs="仿宋_GB2312" w:hint="eastAsia"/>
          <w:sz w:val="32"/>
          <w:szCs w:val="32"/>
        </w:rPr>
        <w:t>指以前年度尚未完成、结转到本年仍按原规定用途继续使用的资金。</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事业单位经营支出：</w:t>
      </w:r>
      <w:r>
        <w:rPr>
          <w:rFonts w:ascii="仿宋_GB2312" w:eastAsia="仿宋_GB2312" w:hAnsi="仿宋_GB2312" w:cs="仿宋_GB2312" w:hint="eastAsia"/>
          <w:sz w:val="32"/>
          <w:szCs w:val="32"/>
        </w:rPr>
        <w:t>指事业单位在专业业务活动及其辅助活动之外开展非独立核算经营活动发生的支出。</w:t>
      </w:r>
    </w:p>
    <w:p w:rsidR="009A43CE" w:rsidRDefault="00F26A3B">
      <w:pPr>
        <w:widowControl w:val="0"/>
        <w:autoSpaceDE w:val="0"/>
        <w:autoSpaceDN w:val="0"/>
        <w:snapToGrid/>
        <w:spacing w:after="0" w:line="584"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hint="eastAsia"/>
          <w:b/>
          <w:bCs/>
          <w:kern w:val="2"/>
          <w:sz w:val="32"/>
          <w:szCs w:val="32"/>
        </w:rPr>
        <w:t>九、其他需要说明的事项</w:t>
      </w:r>
    </w:p>
    <w:p w:rsidR="009A43CE" w:rsidRDefault="00F26A3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我部单位无其他需要说明的事项。</w:t>
      </w:r>
    </w:p>
    <w:p w:rsidR="009A43CE" w:rsidRDefault="009A43CE">
      <w:pPr>
        <w:ind w:firstLineChars="200" w:firstLine="640"/>
        <w:rPr>
          <w:rFonts w:ascii="仿宋_GB2312" w:eastAsia="仿宋_GB2312" w:hAnsi="仿宋_GB2312" w:cs="仿宋_GB2312"/>
          <w:sz w:val="32"/>
          <w:szCs w:val="32"/>
        </w:rPr>
      </w:pPr>
    </w:p>
    <w:p w:rsidR="009A43CE" w:rsidRDefault="009A43CE">
      <w:pPr>
        <w:spacing w:line="220" w:lineRule="atLeast"/>
      </w:pPr>
    </w:p>
    <w:sectPr w:rsidR="009A43CE" w:rsidSect="009A43CE">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书宋_GBK">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A43CE"/>
    <w:rsid w:val="00D31D50"/>
    <w:rsid w:val="00F26A3B"/>
    <w:rsid w:val="35504231"/>
    <w:rsid w:val="38733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CE"/>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A43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2008-09-11T17:20:00Z</dcterms:created>
  <dcterms:modified xsi:type="dcterms:W3CDTF">2021-02-28T07:41:00Z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