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Times New Roman" w:hAnsi="Times New Roman" w:eastAsia="方正小标宋简体" w:cs="Times New Roman"/>
          <w:sz w:val="44"/>
          <w:szCs w:val="44"/>
        </w:rPr>
      </w:pPr>
      <w:r>
        <w:rPr>
          <w:rFonts w:hint="eastAsia" w:ascii="Times New Roman" w:hAnsi="Times New Roman" w:eastAsia="仿宋_GB2312" w:cs="Times New Roman"/>
          <w:sz w:val="44"/>
          <w:szCs w:val="44"/>
        </w:rPr>
        <w:t xml:space="preserve">    </w:t>
      </w: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妇女儿童活动中心</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妇女儿童活动中心</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廊坊市妇女儿童活动中心是市政府投资、市编委批准成立的科级事业单位，隶属于廊坊市妇联，拨款形式为财政定额补助，其宗旨为服务于社会、服务于妇女、服务于儿童。</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43" w:type="dxa"/>
            <w:vMerge w:val="continue"/>
            <w:shd w:val="clear" w:color="auto" w:fill="auto"/>
            <w:vAlign w:val="center"/>
          </w:tcPr>
          <w:p>
            <w:pPr>
              <w:jc w:val="center"/>
            </w:pPr>
          </w:p>
        </w:tc>
        <w:tc>
          <w:tcPr>
            <w:tcW w:w="1134" w:type="dxa"/>
            <w:vMerge w:val="continue"/>
            <w:shd w:val="clear" w:color="auto" w:fill="auto"/>
            <w:vAlign w:val="center"/>
          </w:tcPr>
          <w:p>
            <w:pPr>
              <w:jc w:val="center"/>
            </w:pPr>
          </w:p>
        </w:tc>
        <w:tc>
          <w:tcPr>
            <w:tcW w:w="1276" w:type="dxa"/>
            <w:vMerge w:val="continue"/>
            <w:shd w:val="clear" w:color="auto" w:fill="auto"/>
            <w:vAlign w:val="center"/>
          </w:tcPr>
          <w:p>
            <w:pPr>
              <w:jc w:val="center"/>
            </w:pPr>
          </w:p>
        </w:tc>
        <w:tc>
          <w:tcPr>
            <w:tcW w:w="2902" w:type="dxa"/>
            <w:vMerge w:val="continue"/>
            <w:shd w:val="clear" w:color="auto" w:fill="auto"/>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443"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廊坊市妇女儿童活动中心</w:t>
            </w:r>
          </w:p>
        </w:tc>
        <w:tc>
          <w:tcPr>
            <w:tcW w:w="1134"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事业</w:t>
            </w:r>
          </w:p>
        </w:tc>
        <w:tc>
          <w:tcPr>
            <w:tcW w:w="1276"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正科级</w:t>
            </w:r>
          </w:p>
        </w:tc>
        <w:tc>
          <w:tcPr>
            <w:tcW w:w="2902" w:type="dxa"/>
            <w:shd w:val="clear" w:color="auto" w:fill="auto"/>
            <w:vAlign w:val="center"/>
          </w:tcPr>
          <w:p>
            <w:pPr>
              <w:spacing w:line="300" w:lineRule="exact"/>
              <w:jc w:val="center"/>
              <w:rPr>
                <w:rFonts w:ascii="仿宋_GB2312" w:hAnsi="仿宋_GB2312" w:eastAsia="仿宋_GB2312" w:cs="仿宋_GB2312"/>
                <w:b/>
                <w:szCs w:val="21"/>
              </w:rPr>
            </w:pPr>
            <w:r>
              <w:rPr>
                <w:rFonts w:ascii="仿宋_GB2312" w:hAnsi="仿宋_GB2312" w:eastAsia="仿宋_GB2312" w:cs="仿宋_GB2312"/>
                <w:b/>
                <w:szCs w:val="21"/>
              </w:rPr>
              <w:t>财政性资金定额或定向补助</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按照预算管理有关规定，目前我市部门预算的编制实行综合预算制度，即全部收入和支出都反映在预算中。廊坊市</w:t>
      </w:r>
      <w:r>
        <w:rPr>
          <w:rFonts w:hint="eastAsia" w:ascii="Times New Roman" w:hAnsi="Times New Roman" w:eastAsia="仿宋_GB2312" w:cs="Times New Roman"/>
          <w:sz w:val="32"/>
          <w:szCs w:val="32"/>
        </w:rPr>
        <w:t>妇女儿童活动中心</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40</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40</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妇女儿童活动中心202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40</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项目支出</w:t>
      </w:r>
      <w:bookmarkStart w:id="3" w:name="_GoBack"/>
      <w:bookmarkEnd w:id="3"/>
      <w:r>
        <w:rPr>
          <w:rFonts w:hint="eastAsia" w:ascii="Times New Roman" w:hAnsi="Times New Roman" w:eastAsia="仿宋_GB2312" w:cs="Times New Roman"/>
          <w:sz w:val="32"/>
          <w:szCs w:val="32"/>
          <w:lang w:val="en-US" w:eastAsia="zh-CN"/>
        </w:rPr>
        <w:t>40万元。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 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40</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lang w:val="en-US" w:eastAsia="zh-CN"/>
        </w:rPr>
        <w:t>30.2</w:t>
      </w:r>
      <w:r>
        <w:rPr>
          <w:rFonts w:ascii="Times New Roman" w:hAnsi="Times New Roman" w:eastAsia="仿宋_GB2312" w:cs="Times New Roman"/>
          <w:sz w:val="32"/>
          <w:szCs w:val="32"/>
        </w:rPr>
        <w:t>万元，其中：</w:t>
      </w:r>
      <w:r>
        <w:rPr>
          <w:rFonts w:hint="eastAsia" w:ascii="Times New Roman" w:hAnsi="Times New Roman" w:eastAsia="仿宋_GB2312" w:cs="Times New Roman"/>
          <w:sz w:val="32"/>
          <w:szCs w:val="32"/>
          <w:lang w:val="en-US" w:eastAsia="zh-CN"/>
        </w:rPr>
        <w:t>项目</w:t>
      </w:r>
      <w:r>
        <w:rPr>
          <w:rFonts w:ascii="Times New Roman" w:hAnsi="Times New Roman" w:eastAsia="仿宋_GB2312" w:cs="Times New Roman"/>
          <w:sz w:val="32"/>
          <w:szCs w:val="32"/>
        </w:rPr>
        <w:t>支出减少</w:t>
      </w:r>
      <w:r>
        <w:rPr>
          <w:rFonts w:hint="eastAsia" w:ascii="Times New Roman" w:hAnsi="Times New Roman" w:eastAsia="仿宋_GB2312" w:cs="Times New Roman"/>
          <w:sz w:val="32"/>
          <w:szCs w:val="32"/>
          <w:lang w:val="en-US" w:eastAsia="zh-CN"/>
        </w:rPr>
        <w:t>30.2</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rPr>
        <w:t>为</w:t>
      </w:r>
      <w:r>
        <w:rPr>
          <w:rFonts w:hint="eastAsia" w:ascii="Times New Roman" w:hAnsi="Times New Roman" w:eastAsia="仿宋_GB2312" w:cs="Times New Roman"/>
          <w:sz w:val="32"/>
          <w:szCs w:val="32"/>
          <w:lang w:val="en-US" w:eastAsia="zh-CN"/>
        </w:rPr>
        <w:t>单位运转</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highlight w:val="none"/>
        </w:rPr>
      </w:pPr>
      <w:r>
        <w:rPr>
          <w:rFonts w:ascii="Times New Roman" w:hAnsi="Times New Roman" w:eastAsia="黑体" w:cs="Times New Roman"/>
          <w:sz w:val="32"/>
          <w:szCs w:val="32"/>
        </w:rPr>
        <w:t>三、</w:t>
      </w:r>
      <w:r>
        <w:rPr>
          <w:rFonts w:ascii="Times New Roman" w:hAnsi="Times New Roman" w:eastAsia="黑体" w:cs="Times New Roman"/>
          <w:sz w:val="32"/>
          <w:szCs w:val="32"/>
          <w:highlight w:val="none"/>
        </w:rPr>
        <w:t>机关运行经费安排情况</w:t>
      </w:r>
    </w:p>
    <w:p>
      <w:pPr>
        <w:autoSpaceDE w:val="0"/>
        <w:autoSpaceDN w:val="0"/>
        <w:adjustRightInd w:val="0"/>
        <w:spacing w:line="584" w:lineRule="exact"/>
        <w:ind w:left="198" w:firstLine="640" w:firstLineChars="200"/>
        <w:jc w:val="left"/>
        <w:rPr>
          <w:rFonts w:hint="eastAsia" w:ascii="Times New Roman" w:hAnsi="Times New Roman" w:eastAsia="仿宋_GB2312" w:cs="Times New Roman"/>
          <w:sz w:val="32"/>
          <w:szCs w:val="32"/>
          <w:highlight w:val="none"/>
          <w:lang w:val="en-US" w:eastAsia="zh-CN"/>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年，我</w:t>
      </w:r>
      <w:r>
        <w:rPr>
          <w:rFonts w:hint="eastAsia" w:ascii="Times New Roman" w:hAnsi="Times New Roman" w:eastAsia="仿宋_GB2312" w:cs="Times New Roman"/>
          <w:sz w:val="32"/>
          <w:szCs w:val="32"/>
          <w:highlight w:val="none"/>
        </w:rPr>
        <w:t>中心</w:t>
      </w:r>
      <w:r>
        <w:rPr>
          <w:rFonts w:ascii="Times New Roman" w:hAnsi="Times New Roman" w:eastAsia="仿宋_GB2312" w:cs="Times New Roman"/>
          <w:sz w:val="32"/>
          <w:szCs w:val="32"/>
          <w:highlight w:val="none"/>
        </w:rPr>
        <w:t>机关运行经费共计安排</w:t>
      </w:r>
      <w:r>
        <w:rPr>
          <w:rFonts w:hint="eastAsia" w:ascii="Times New Roman" w:hAnsi="Times New Roman" w:eastAsia="仿宋_GB2312" w:cs="Times New Roman"/>
          <w:sz w:val="32"/>
          <w:szCs w:val="32"/>
          <w:highlight w:val="none"/>
          <w:lang w:val="en-US" w:eastAsia="zh-CN"/>
        </w:rPr>
        <w:t>40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主要用于廊坊市妇女儿童活动中心的日常维修、水电费、取暖费、物业管理费、人员工资及其他商品服务支出等单位运转支出。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年，我</w:t>
      </w:r>
      <w:r>
        <w:rPr>
          <w:rFonts w:hint="eastAsia" w:ascii="Times New Roman" w:hAnsi="Times New Roman" w:eastAsia="仿宋_GB2312" w:cs="Times New Roman"/>
          <w:sz w:val="32"/>
          <w:szCs w:val="32"/>
          <w:highlight w:val="none"/>
        </w:rPr>
        <w:t>单位</w:t>
      </w:r>
      <w:r>
        <w:rPr>
          <w:rFonts w:ascii="Times New Roman" w:hAnsi="Times New Roman" w:eastAsia="仿宋_GB2312" w:cs="Times New Roman"/>
          <w:sz w:val="32"/>
          <w:szCs w:val="32"/>
          <w:highlight w:val="none"/>
        </w:rPr>
        <w:t>财政拨款“三公”经费预算安排</w:t>
      </w:r>
      <w:r>
        <w:rPr>
          <w:rFonts w:hint="eastAsia" w:ascii="Times New Roman" w:hAnsi="Times New Roman" w:eastAsia="仿宋_GB2312" w:cs="Times New Roman"/>
          <w:sz w:val="32"/>
          <w:szCs w:val="32"/>
          <w:highlight w:val="none"/>
        </w:rPr>
        <w:t>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与20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2</w:t>
      </w:r>
      <w:r>
        <w:rPr>
          <w:rFonts w:ascii="Times New Roman" w:hAnsi="Times New Roman" w:eastAsia="仿宋_GB2312" w:cs="Times New Roman"/>
          <w:sz w:val="32"/>
          <w:szCs w:val="32"/>
          <w:highlight w:val="none"/>
        </w:rPr>
        <w:t>年相比持平，无增减变化。</w:t>
      </w:r>
    </w:p>
    <w:p>
      <w:pPr>
        <w:spacing w:line="584" w:lineRule="exact"/>
        <w:ind w:firstLine="640" w:firstLineChars="200"/>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通过为全市妇女儿童提供丰富多彩的文化艺术公益服务，实现在活动中弘扬社会主义核心价值观，在活动外传递“奉献、友爱、互助、进步”正能量，校外教育与学校教育形成一体两翼、成人发展与少儿成长组合联动的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（二）工作保障措施</w:t>
      </w:r>
    </w:p>
    <w:p>
      <w:pPr>
        <w:overflowPunct w:val="0"/>
        <w:adjustRightInd w:val="0"/>
        <w:snapToGrid w:val="0"/>
        <w:spacing w:afterLines="50" w:line="580"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及时采购办公、教学、防疫相关物资，缴纳</w:t>
      </w:r>
      <w:r>
        <w:rPr>
          <w:rFonts w:ascii="Times New Roman" w:hAnsi="Times New Roman" w:eastAsia="仿宋_GB2312" w:cs="Times New Roman"/>
          <w:sz w:val="32"/>
          <w:szCs w:val="32"/>
        </w:rPr>
        <w:t>维修</w:t>
      </w:r>
      <w:r>
        <w:rPr>
          <w:rFonts w:hint="eastAsia" w:ascii="Times New Roman" w:hAnsi="Times New Roman" w:eastAsia="仿宋_GB2312" w:cs="Times New Roman"/>
          <w:sz w:val="32"/>
          <w:szCs w:val="32"/>
        </w:rPr>
        <w:t>费</w:t>
      </w:r>
      <w:r>
        <w:rPr>
          <w:rFonts w:ascii="Times New Roman" w:hAnsi="Times New Roman" w:eastAsia="仿宋_GB2312" w:cs="Times New Roman"/>
          <w:sz w:val="32"/>
          <w:szCs w:val="32"/>
        </w:rPr>
        <w:t>、水电费、取暖费、物业管理费</w:t>
      </w:r>
      <w:r>
        <w:rPr>
          <w:rFonts w:hint="eastAsia" w:ascii="Times New Roman" w:hAnsi="Times New Roman" w:eastAsia="仿宋_GB2312" w:cs="Times New Roman"/>
          <w:sz w:val="32"/>
          <w:szCs w:val="32"/>
        </w:rPr>
        <w:t>、</w:t>
      </w:r>
      <w:r>
        <w:rPr>
          <w:rFonts w:hint="eastAsia" w:ascii="仿宋_GB2312" w:hAnsi="Times New Roman" w:eastAsia="仿宋_GB2312" w:cs="Times New Roman"/>
          <w:sz w:val="32"/>
          <w:szCs w:val="32"/>
        </w:rPr>
        <w:t>人员工资及其他商品服务支出</w:t>
      </w:r>
      <w:r>
        <w:rPr>
          <w:rFonts w:ascii="Times New Roman" w:hAnsi="Times New Roman" w:eastAsia="仿宋_GB2312" w:cs="Times New Roman"/>
          <w:sz w:val="32"/>
          <w:szCs w:val="32"/>
        </w:rPr>
        <w:t>等日常运行支出</w:t>
      </w:r>
      <w:r>
        <w:rPr>
          <w:rFonts w:hint="eastAsia" w:ascii="Times New Roman" w:hAnsi="Times New Roman" w:eastAsia="仿宋_GB2312" w:cs="Times New Roman"/>
          <w:sz w:val="32"/>
          <w:szCs w:val="32"/>
        </w:rPr>
        <w:t>，以保证相关工作顺利开展。</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（三）部门整体支出绩效指标</w:t>
      </w:r>
    </w:p>
    <w:tbl>
      <w:tblPr>
        <w:tblStyle w:val="8"/>
        <w:tblW w:w="11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3037"/>
        <w:gridCol w:w="993"/>
        <w:gridCol w:w="708"/>
        <w:gridCol w:w="1239"/>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303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940"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42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3037" w:type="dxa"/>
            <w:vMerge w:val="continue"/>
            <w:tcBorders>
              <w:tl2br w:val="nil"/>
              <w:tr2bl w:val="nil"/>
            </w:tcBorders>
            <w:vAlign w:val="center"/>
          </w:tcPr>
          <w:p/>
        </w:tc>
        <w:tc>
          <w:tcPr>
            <w:tcW w:w="99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70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239"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423"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组织系列文化活动数量</w:t>
            </w:r>
          </w:p>
        </w:tc>
        <w:tc>
          <w:tcPr>
            <w:tcW w:w="2172"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完成满分，不足减10分</w:t>
            </w:r>
          </w:p>
        </w:tc>
        <w:tc>
          <w:tcPr>
            <w:tcW w:w="3037"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组织系列文化活动数量</w:t>
            </w:r>
          </w:p>
        </w:tc>
        <w:tc>
          <w:tcPr>
            <w:tcW w:w="993" w:type="dxa"/>
            <w:tcBorders>
              <w:tl2br w:val="nil"/>
              <w:tr2bl w:val="nil"/>
            </w:tcBorders>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p>
        </w:tc>
        <w:tc>
          <w:tcPr>
            <w:tcW w:w="708" w:type="dxa"/>
            <w:tcBorders>
              <w:tl2br w:val="nil"/>
              <w:tr2bl w:val="nil"/>
            </w:tcBorders>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4</w:t>
            </w:r>
          </w:p>
        </w:tc>
        <w:tc>
          <w:tcPr>
            <w:tcW w:w="1239" w:type="dxa"/>
            <w:tcBorders>
              <w:tl2br w:val="nil"/>
              <w:tr2bl w:val="nil"/>
            </w:tcBorders>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次</w:t>
            </w:r>
          </w:p>
        </w:tc>
        <w:tc>
          <w:tcPr>
            <w:tcW w:w="1423"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组织开展面向全市妇女儿童的各类活动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各项培训及活动质量</w:t>
            </w:r>
          </w:p>
        </w:tc>
        <w:tc>
          <w:tcPr>
            <w:tcW w:w="2172"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完成满分，不足减10分</w:t>
            </w:r>
          </w:p>
        </w:tc>
        <w:tc>
          <w:tcPr>
            <w:tcW w:w="3037"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各项培训项目及活动高质量完成</w:t>
            </w:r>
          </w:p>
        </w:tc>
        <w:tc>
          <w:tcPr>
            <w:tcW w:w="993" w:type="dxa"/>
            <w:tcBorders>
              <w:tl2br w:val="nil"/>
              <w:tr2bl w:val="nil"/>
            </w:tcBorders>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p>
        </w:tc>
        <w:tc>
          <w:tcPr>
            <w:tcW w:w="708" w:type="dxa"/>
            <w:tcBorders>
              <w:tl2br w:val="nil"/>
              <w:tr2bl w:val="nil"/>
            </w:tcBorders>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90</w:t>
            </w:r>
          </w:p>
        </w:tc>
        <w:tc>
          <w:tcPr>
            <w:tcW w:w="1239" w:type="dxa"/>
            <w:tcBorders>
              <w:tl2br w:val="nil"/>
              <w:tr2bl w:val="nil"/>
            </w:tcBorders>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p>
        </w:tc>
        <w:tc>
          <w:tcPr>
            <w:tcW w:w="1423"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培训项目及活动完成率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物资采购时效</w:t>
            </w:r>
          </w:p>
        </w:tc>
        <w:tc>
          <w:tcPr>
            <w:tcW w:w="2172"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采购不及时扣10分</w:t>
            </w:r>
          </w:p>
        </w:tc>
        <w:tc>
          <w:tcPr>
            <w:tcW w:w="3037"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办公、教学、防疫相关物资采购是否及时</w:t>
            </w:r>
          </w:p>
        </w:tc>
        <w:tc>
          <w:tcPr>
            <w:tcW w:w="993" w:type="dxa"/>
            <w:tcBorders>
              <w:tl2br w:val="nil"/>
              <w:tr2bl w:val="nil"/>
            </w:tcBorders>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文字描述</w:t>
            </w:r>
          </w:p>
        </w:tc>
        <w:tc>
          <w:tcPr>
            <w:tcW w:w="708" w:type="dxa"/>
            <w:tcBorders>
              <w:tl2br w:val="nil"/>
              <w:tr2bl w:val="nil"/>
            </w:tcBorders>
            <w:vAlign w:val="center"/>
          </w:tcPr>
          <w:p>
            <w:pPr>
              <w:widowControl/>
              <w:adjustRightInd w:val="0"/>
              <w:snapToGrid w:val="0"/>
              <w:jc w:val="center"/>
              <w:rPr>
                <w:rFonts w:ascii="Times New Roman" w:hAnsi="Times New Roman" w:eastAsia="仿宋_GB2312" w:cs="Times New Roman"/>
              </w:rPr>
            </w:pPr>
          </w:p>
        </w:tc>
        <w:tc>
          <w:tcPr>
            <w:tcW w:w="1239" w:type="dxa"/>
            <w:tcBorders>
              <w:tl2br w:val="nil"/>
              <w:tr2bl w:val="nil"/>
            </w:tcBorders>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及时采购以保证相关工作顺利开展</w:t>
            </w:r>
          </w:p>
        </w:tc>
        <w:tc>
          <w:tcPr>
            <w:tcW w:w="1423"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及时采购以保证相关工作顺利开展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控制成本支出</w:t>
            </w:r>
          </w:p>
        </w:tc>
        <w:tc>
          <w:tcPr>
            <w:tcW w:w="2172"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超出预算扣分</w:t>
            </w:r>
          </w:p>
        </w:tc>
        <w:tc>
          <w:tcPr>
            <w:tcW w:w="3037"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严格控制支出成本，花小钱办大事</w:t>
            </w:r>
          </w:p>
        </w:tc>
        <w:tc>
          <w:tcPr>
            <w:tcW w:w="993" w:type="dxa"/>
            <w:tcBorders>
              <w:tl2br w:val="nil"/>
              <w:tr2bl w:val="nil"/>
            </w:tcBorders>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p>
        </w:tc>
        <w:tc>
          <w:tcPr>
            <w:tcW w:w="708" w:type="dxa"/>
            <w:tcBorders>
              <w:tl2br w:val="nil"/>
              <w:tr2bl w:val="nil"/>
            </w:tcBorders>
            <w:vAlign w:val="center"/>
          </w:tcPr>
          <w:p>
            <w:pPr>
              <w:widowControl/>
              <w:adjustRightInd w:val="0"/>
              <w:snapToGrid w:val="0"/>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40</w:t>
            </w:r>
          </w:p>
        </w:tc>
        <w:tc>
          <w:tcPr>
            <w:tcW w:w="1239" w:type="dxa"/>
            <w:tcBorders>
              <w:tl2br w:val="nil"/>
              <w:tr2bl w:val="nil"/>
            </w:tcBorders>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万元</w:t>
            </w:r>
          </w:p>
        </w:tc>
        <w:tc>
          <w:tcPr>
            <w:tcW w:w="1423"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3</w:t>
            </w:r>
            <w:r>
              <w:rPr>
                <w:rFonts w:hint="eastAsia" w:ascii="Times New Roman" w:hAnsi="Times New Roman" w:eastAsia="仿宋_GB2312" w:cs="Times New Roman"/>
              </w:rPr>
              <w:t>年预算批复金额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长期使用性</w:t>
            </w:r>
          </w:p>
        </w:tc>
        <w:tc>
          <w:tcPr>
            <w:tcW w:w="2172"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资金使用率不足扣分</w:t>
            </w:r>
          </w:p>
        </w:tc>
        <w:tc>
          <w:tcPr>
            <w:tcW w:w="3037"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保证中心正常运转，为中心转型升级、进一步增强育人功能提供保障</w:t>
            </w:r>
          </w:p>
        </w:tc>
        <w:tc>
          <w:tcPr>
            <w:tcW w:w="993" w:type="dxa"/>
            <w:tcBorders>
              <w:tl2br w:val="nil"/>
              <w:tr2bl w:val="nil"/>
            </w:tcBorders>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文字描述</w:t>
            </w:r>
          </w:p>
        </w:tc>
        <w:tc>
          <w:tcPr>
            <w:tcW w:w="708" w:type="dxa"/>
            <w:tcBorders>
              <w:tl2br w:val="nil"/>
              <w:tr2bl w:val="nil"/>
            </w:tcBorders>
            <w:vAlign w:val="center"/>
          </w:tcPr>
          <w:p>
            <w:pPr>
              <w:widowControl/>
              <w:adjustRightInd w:val="0"/>
              <w:snapToGrid w:val="0"/>
              <w:jc w:val="center"/>
              <w:rPr>
                <w:rFonts w:ascii="Times New Roman" w:hAnsi="Times New Roman" w:eastAsia="仿宋_GB2312" w:cs="Times New Roman"/>
              </w:rPr>
            </w:pPr>
          </w:p>
        </w:tc>
        <w:tc>
          <w:tcPr>
            <w:tcW w:w="1239" w:type="dxa"/>
            <w:tcBorders>
              <w:tl2br w:val="nil"/>
              <w:tr2bl w:val="nil"/>
            </w:tcBorders>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保证中心软硬件设施的正常运转，为中心开展各项工作提供保障</w:t>
            </w:r>
          </w:p>
        </w:tc>
        <w:tc>
          <w:tcPr>
            <w:tcW w:w="1423"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中心软硬件设施的正常运转，为中心开展各项工作提供保障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长期使用性</w:t>
            </w:r>
          </w:p>
        </w:tc>
        <w:tc>
          <w:tcPr>
            <w:tcW w:w="2172"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活动及培训项目可长期开展满分</w:t>
            </w:r>
          </w:p>
        </w:tc>
        <w:tc>
          <w:tcPr>
            <w:tcW w:w="3037"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发挥校外活动阵地作用，培养妇女儿童核心素养，促进个性发展，提升综合素质，与学校教育形成一体两翼，共同为实现基础教育的目标服务</w:t>
            </w:r>
          </w:p>
        </w:tc>
        <w:tc>
          <w:tcPr>
            <w:tcW w:w="993"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文字描述</w:t>
            </w:r>
          </w:p>
        </w:tc>
        <w:tc>
          <w:tcPr>
            <w:tcW w:w="708" w:type="dxa"/>
            <w:tcBorders>
              <w:tl2br w:val="nil"/>
              <w:tr2bl w:val="nil"/>
            </w:tcBorders>
            <w:vAlign w:val="center"/>
          </w:tcPr>
          <w:p>
            <w:pPr>
              <w:widowControl/>
              <w:adjustRightInd w:val="0"/>
              <w:snapToGrid w:val="0"/>
              <w:rPr>
                <w:rFonts w:ascii="Times New Roman" w:hAnsi="Times New Roman" w:eastAsia="仿宋_GB2312" w:cs="Times New Roman"/>
              </w:rPr>
            </w:pPr>
          </w:p>
        </w:tc>
        <w:tc>
          <w:tcPr>
            <w:tcW w:w="1239"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为广大妇女儿童提供各种技能教育培训，不断向社会输送各类人才。</w:t>
            </w:r>
          </w:p>
        </w:tc>
        <w:tc>
          <w:tcPr>
            <w:tcW w:w="1423"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为广大妇女儿童提供各种技能教育培训，不断向社会输送各类人才。</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中心运转经费</w:t>
      </w:r>
      <w:r>
        <w:rPr>
          <w:rFonts w:ascii="Times New Roman" w:hAnsi="Times New Roman" w:eastAsia="仿宋_GB2312" w:cs="Times New Roman"/>
          <w:sz w:val="28"/>
        </w:rPr>
        <w:t>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保证中心正常运转，继续发挥中心校外教育阵地的作用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组织系列文化活动数量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组织系列文化活动数量</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≥4次</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组织开展面向全市妇女儿童的各类活动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各项培训及活动质量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各项培训项目及活动高质量完成</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培训项目及活动完成率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物资采购时效</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办公、教学、防疫相关物资采购是否及时</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及时采购以保证相关工作顺利开展</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及时采购以保证相关工作顺利开展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控制成本支出</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严格控制支出成本，花小钱办大事</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40</w:t>
            </w:r>
            <w:r>
              <w:rPr>
                <w:rFonts w:hint="eastAsia" w:ascii="Times New Roman" w:hAnsi="Times New Roman" w:eastAsia="仿宋_GB2312" w:cs="Times New Roman"/>
              </w:rPr>
              <w:t>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3</w:t>
            </w:r>
            <w:r>
              <w:rPr>
                <w:rFonts w:hint="eastAsia" w:ascii="Times New Roman" w:hAnsi="Times New Roman" w:eastAsia="仿宋_GB2312" w:cs="Times New Roman"/>
              </w:rPr>
              <w:t>年预算批复金额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经济效益指标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长期使用性</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保证中心正常运转，为中心转型升级、进一步增强育人功能提供保障</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保证中心软硬件设施的正常运转，为中心开展各项工作提供保障</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中心软硬件设施的正常运转，为中心开展各项工作提供保障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长期使用性</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发挥校外活动阵地作用，培养妇女儿童核心素养，促进个性发展，提升综合素质，与学校教育形成一体两翼，共同为实现基础教育的目标服务</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为广大妇女儿童提供各种技能教育培训，不断向社会输送各类人才。</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为广大妇女儿童提供各种技能教育培训，不断向社会输送各类人才。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接受培训及参加活动的人员的满意程度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满意度调查问卷</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rPr>
        <w:t>部门政府采购预算</w:t>
      </w:r>
      <w:bookmarkEnd w:id="2"/>
    </w:p>
    <w:p>
      <w:pPr>
        <w:outlineLvl w:val="1"/>
        <w:rPr>
          <w:rFonts w:ascii="方正小标宋_GBK" w:eastAsia="方正小标宋_GBK" w:cs="Times New Roman"/>
          <w:sz w:val="32"/>
        </w:rPr>
      </w:pPr>
      <w:r>
        <w:t>廊坊市</w:t>
      </w:r>
      <w:r>
        <w:rPr>
          <w:rFonts w:hint="eastAsia"/>
        </w:rPr>
        <w:t>妇女儿童活动中心</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政府采购金额（当年部门预算安排资金）</w:t>
            </w:r>
          </w:p>
        </w:tc>
        <w:tc>
          <w:tcPr>
            <w:tcW w:w="964" w:type="dxa"/>
            <w:vMerge w:val="restart"/>
            <w:vAlign w:val="center"/>
          </w:tcPr>
          <w:p>
            <w:pPr>
              <w:pStyle w:val="12"/>
            </w:pPr>
            <w:r>
              <w:t>202</w:t>
            </w:r>
            <w:r>
              <w:rPr>
                <w:rFonts w:hint="eastAsia"/>
                <w:lang w:val="en-US"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妇女儿童活动中心</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49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r>
        <w:rPr>
          <w:rFonts w:hint="eastAsia" w:ascii="仿宋_GB2312" w:hAnsi="黑体" w:eastAsia="仿宋_GB2312" w:cs="Times New Roman"/>
          <w:sz w:val="32"/>
          <w:szCs w:val="32"/>
        </w:rPr>
        <w:t>本年度我单位无拟购置固定资产</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本年度我部门无拟购置固定资产</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2</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367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rPr>
              <w:t>3.</w:t>
            </w:r>
            <w:r>
              <w:rPr>
                <w:rFonts w:hint="eastAsia" w:ascii="Times New Roman" w:hAnsi="Times New Roman" w:eastAsia="仿宋_GB2312" w:cs="Times New Roman"/>
                <w:sz w:val="22"/>
                <w:lang w:val="en-US" w:eastAsia="zh-CN"/>
              </w:rPr>
              <w:t>49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367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3.49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082A54A-549B-4223-BC62-69222963039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embedRegular r:id="rId2" w:fontKey="{1EC11250-3B05-4E6E-BAA4-CF0D955EFB69}"/>
  </w:font>
  <w:font w:name="方正小标宋简体">
    <w:panose1 w:val="02000000000000000000"/>
    <w:charset w:val="86"/>
    <w:family w:val="auto"/>
    <w:pitch w:val="default"/>
    <w:sig w:usb0="00000001" w:usb1="08000000" w:usb2="00000000" w:usb3="00000000" w:csb0="00040000" w:csb1="00000000"/>
    <w:embedRegular r:id="rId3" w:fontKey="{B60DFB0D-5436-4FFD-8770-A0B4888B4347}"/>
  </w:font>
  <w:font w:name="仿宋_GB2312">
    <w:altName w:val="仿宋"/>
    <w:panose1 w:val="02010609030101010101"/>
    <w:charset w:val="86"/>
    <w:family w:val="modern"/>
    <w:pitch w:val="default"/>
    <w:sig w:usb0="00000000" w:usb1="00000000" w:usb2="00000010" w:usb3="00000000" w:csb0="00040000" w:csb1="00000000"/>
    <w:embedRegular r:id="rId4" w:fontKey="{B975216E-A317-463B-8E35-85B3FB797F00}"/>
  </w:font>
  <w:font w:name="楷体_GB2312">
    <w:altName w:val="楷体"/>
    <w:panose1 w:val="00000000000000000000"/>
    <w:charset w:val="86"/>
    <w:family w:val="modern"/>
    <w:pitch w:val="default"/>
    <w:sig w:usb0="00000000" w:usb1="00000000" w:usb2="00000010" w:usb3="00000000" w:csb0="00040000" w:csb1="00000000"/>
    <w:embedRegular r:id="rId5" w:fontKey="{83AA1C35-6137-4FCF-BAB3-721B3AAA4E52}"/>
  </w:font>
  <w:font w:name="方正小标宋_GBK">
    <w:panose1 w:val="02000000000000000000"/>
    <w:charset w:val="86"/>
    <w:family w:val="script"/>
    <w:pitch w:val="default"/>
    <w:sig w:usb0="A00002BF" w:usb1="38CF7CFA" w:usb2="00082016" w:usb3="00000000" w:csb0="00040001" w:csb1="00000000"/>
    <w:embedRegular r:id="rId6" w:fontKey="{DD505F30-2C8F-4E32-9422-60C5740514C8}"/>
  </w:font>
  <w:font w:name="方正仿宋_GBK">
    <w:panose1 w:val="02000000000000000000"/>
    <w:charset w:val="86"/>
    <w:family w:val="script"/>
    <w:pitch w:val="default"/>
    <w:sig w:usb0="A00002BF" w:usb1="38CF7CFA" w:usb2="00082016" w:usb3="00000000" w:csb0="00040001" w:csb1="00000000"/>
    <w:embedRegular r:id="rId7" w:fontKey="{0CB7F003-6C2E-4099-9292-735C80D16F42}"/>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c2MzdlYjVkNzhjOThlN2E1NjQwNmUzNzhjNzk3MGEifQ=="/>
  </w:docVars>
  <w:rsids>
    <w:rsidRoot w:val="00D347CC"/>
    <w:rsid w:val="00014F3C"/>
    <w:rsid w:val="000230E6"/>
    <w:rsid w:val="000E537B"/>
    <w:rsid w:val="000F4DDB"/>
    <w:rsid w:val="00134F22"/>
    <w:rsid w:val="00233C8D"/>
    <w:rsid w:val="00244B4A"/>
    <w:rsid w:val="00253C2E"/>
    <w:rsid w:val="0025632D"/>
    <w:rsid w:val="002835B7"/>
    <w:rsid w:val="0039630C"/>
    <w:rsid w:val="003A1415"/>
    <w:rsid w:val="003B236C"/>
    <w:rsid w:val="003B344B"/>
    <w:rsid w:val="00452E3A"/>
    <w:rsid w:val="004A54AA"/>
    <w:rsid w:val="00524DB7"/>
    <w:rsid w:val="0059126B"/>
    <w:rsid w:val="005D5F3C"/>
    <w:rsid w:val="005E3CB7"/>
    <w:rsid w:val="005E52F1"/>
    <w:rsid w:val="005F17BA"/>
    <w:rsid w:val="005F2C62"/>
    <w:rsid w:val="00623B4B"/>
    <w:rsid w:val="00670ECD"/>
    <w:rsid w:val="006C4DF8"/>
    <w:rsid w:val="00704CB8"/>
    <w:rsid w:val="00776D68"/>
    <w:rsid w:val="007841C0"/>
    <w:rsid w:val="007F7CAE"/>
    <w:rsid w:val="0080717F"/>
    <w:rsid w:val="00843613"/>
    <w:rsid w:val="00845196"/>
    <w:rsid w:val="008C2E9F"/>
    <w:rsid w:val="008C7733"/>
    <w:rsid w:val="008F37EE"/>
    <w:rsid w:val="0094148F"/>
    <w:rsid w:val="00944233"/>
    <w:rsid w:val="00971534"/>
    <w:rsid w:val="009D735E"/>
    <w:rsid w:val="00A10F29"/>
    <w:rsid w:val="00A43C44"/>
    <w:rsid w:val="00A9602B"/>
    <w:rsid w:val="00AD616E"/>
    <w:rsid w:val="00B40732"/>
    <w:rsid w:val="00B640F1"/>
    <w:rsid w:val="00B74FA1"/>
    <w:rsid w:val="00B80935"/>
    <w:rsid w:val="00BB1510"/>
    <w:rsid w:val="00BD2046"/>
    <w:rsid w:val="00C11C3F"/>
    <w:rsid w:val="00C2417D"/>
    <w:rsid w:val="00C53669"/>
    <w:rsid w:val="00C57349"/>
    <w:rsid w:val="00C62B3D"/>
    <w:rsid w:val="00CC58DE"/>
    <w:rsid w:val="00D14CA6"/>
    <w:rsid w:val="00D347CC"/>
    <w:rsid w:val="00E02502"/>
    <w:rsid w:val="00E375C6"/>
    <w:rsid w:val="00E45364"/>
    <w:rsid w:val="00E96298"/>
    <w:rsid w:val="00EB17EC"/>
    <w:rsid w:val="00F067EA"/>
    <w:rsid w:val="00FA4364"/>
    <w:rsid w:val="03804433"/>
    <w:rsid w:val="08D63362"/>
    <w:rsid w:val="142F347A"/>
    <w:rsid w:val="16873D30"/>
    <w:rsid w:val="3289558A"/>
    <w:rsid w:val="4EC769CC"/>
    <w:rsid w:val="51DE5488"/>
    <w:rsid w:val="540C7047"/>
    <w:rsid w:val="55D718B0"/>
    <w:rsid w:val="64B83BA2"/>
    <w:rsid w:val="715A4E53"/>
    <w:rsid w:val="73DC0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6AD74-F7D9-4785-B08C-1A29CED5580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3033</Words>
  <Characters>3117</Characters>
  <Lines>26</Lines>
  <Paragraphs>7</Paragraphs>
  <TotalTime>9019</TotalTime>
  <ScaleCrop>false</ScaleCrop>
  <LinksUpToDate>false</LinksUpToDate>
  <CharactersWithSpaces>3260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飞天小污女  </cp:lastModifiedBy>
  <cp:lastPrinted>2018-01-30T06:12:00Z</cp:lastPrinted>
  <dcterms:modified xsi:type="dcterms:W3CDTF">2023-01-18T04:45:55Z</dcterms:modified>
  <cp:revision>173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778717CCA5C34297AEBA18146FA921D1</vt:lpwstr>
  </property>
</Properties>
</file>